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EA" w:rsidRDefault="00B718EA" w:rsidP="00B718EA">
      <w:pPr>
        <w:pStyle w:val="Heading1"/>
      </w:pPr>
      <w:r>
        <w:t>Lecture 2</w:t>
      </w:r>
    </w:p>
    <w:p w:rsidR="002A0E41" w:rsidRDefault="00B718EA" w:rsidP="00B718EA">
      <w:pPr>
        <w:pStyle w:val="Title"/>
      </w:pPr>
      <w:r>
        <w:t>Advantages of Tender Business</w:t>
      </w:r>
    </w:p>
    <w:p w:rsidR="00B718EA" w:rsidRDefault="00B718EA"/>
    <w:p w:rsidR="00B718EA" w:rsidRDefault="00B718EA"/>
    <w:p w:rsidR="00B718EA" w:rsidRDefault="00B718EA" w:rsidP="00B718EA">
      <w:r w:rsidRPr="00B718EA">
        <w:rPr>
          <w:noProof/>
        </w:rPr>
        <w:drawing>
          <wp:inline distT="0" distB="0" distL="0" distR="0">
            <wp:extent cx="5715000" cy="620681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t="18743" r="-2531"/>
                    <a:stretch>
                      <a:fillRect/>
                    </a:stretch>
                  </pic:blipFill>
                  <pic:spPr bwMode="auto">
                    <a:xfrm>
                      <a:off x="0" y="0"/>
                      <a:ext cx="5715000" cy="6206811"/>
                    </a:xfrm>
                    <a:prstGeom prst="rect">
                      <a:avLst/>
                    </a:prstGeom>
                    <a:noFill/>
                    <a:ln w="9525">
                      <a:noFill/>
                      <a:miter lim="800000"/>
                      <a:headEnd/>
                      <a:tailEnd/>
                    </a:ln>
                  </pic:spPr>
                </pic:pic>
              </a:graphicData>
            </a:graphic>
          </wp:inline>
        </w:drawing>
      </w:r>
    </w:p>
    <w:p w:rsidR="00B718EA" w:rsidRDefault="00B718EA" w:rsidP="00B718EA">
      <w:pPr>
        <w:pStyle w:val="Heading1"/>
        <w:rPr>
          <w:rFonts w:eastAsia="Times New Roman"/>
        </w:rPr>
      </w:pPr>
      <w:r w:rsidRPr="00CE3C4D">
        <w:rPr>
          <w:rFonts w:eastAsia="Times New Roman"/>
        </w:rPr>
        <w:lastRenderedPageBreak/>
        <w:t>Comparison</w:t>
      </w:r>
    </w:p>
    <w:p w:rsidR="00B718EA" w:rsidRPr="00B718EA" w:rsidRDefault="00B718EA" w:rsidP="00B718EA"/>
    <w:p w:rsidR="00B718EA" w:rsidRDefault="00B718EA" w:rsidP="00B718EA">
      <w:pPr>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Note how in a sale by tender, the five stages still occur that occur in a conventional sale however, many of the other stages in conventional sale are avoided. If we look at the frustration in a conventional sale it's from these additional areas that most of them come from. Changed requirements and renegotiations midway into the sale causes sales managers and sales people the greatest headaches. In the view of the above comparison now we can summarize the benefits of sales through tendering.</w:t>
      </w:r>
    </w:p>
    <w:p w:rsidR="00B718EA" w:rsidRDefault="00B718EA" w:rsidP="00B718EA">
      <w:pPr>
        <w:pStyle w:val="Heading1"/>
        <w:rPr>
          <w:rFonts w:eastAsia="Times New Roman"/>
        </w:rPr>
      </w:pPr>
    </w:p>
    <w:p w:rsidR="00B718EA" w:rsidRDefault="00B718EA" w:rsidP="00B718EA">
      <w:pPr>
        <w:pStyle w:val="Heading1"/>
        <w:rPr>
          <w:rFonts w:eastAsia="Times New Roman"/>
        </w:rPr>
      </w:pPr>
      <w:r w:rsidRPr="00CE3C4D">
        <w:rPr>
          <w:rFonts w:eastAsia="Times New Roman"/>
        </w:rPr>
        <w:t>Table of Benefits</w:t>
      </w:r>
    </w:p>
    <w:p w:rsidR="00B718EA" w:rsidRDefault="00B718EA" w:rsidP="00B718EA"/>
    <w:p w:rsidR="00B718EA" w:rsidRPr="00B718EA" w:rsidRDefault="00B718EA" w:rsidP="00B718EA"/>
    <w:tbl>
      <w:tblPr>
        <w:tblW w:w="9404" w:type="dxa"/>
        <w:tblLayout w:type="fixed"/>
        <w:tblCellMar>
          <w:left w:w="0" w:type="dxa"/>
          <w:right w:w="0" w:type="dxa"/>
        </w:tblCellMar>
        <w:tblLook w:val="0000"/>
      </w:tblPr>
      <w:tblGrid>
        <w:gridCol w:w="4436"/>
        <w:gridCol w:w="4968"/>
      </w:tblGrid>
      <w:tr w:rsidR="00B718EA" w:rsidRPr="00CE3C4D" w:rsidTr="00B718EA">
        <w:trPr>
          <w:trHeight w:val="689"/>
        </w:trPr>
        <w:tc>
          <w:tcPr>
            <w:tcW w:w="4436" w:type="dxa"/>
            <w:tcBorders>
              <w:top w:val="nil"/>
              <w:left w:val="nil"/>
              <w:bottom w:val="nil"/>
              <w:right w:val="nil"/>
            </w:tcBorders>
            <w:shd w:val="clear" w:color="auto" w:fill="000000"/>
          </w:tcPr>
          <w:p w:rsidR="00B718EA" w:rsidRPr="00B718EA" w:rsidRDefault="00B718EA" w:rsidP="0085742A">
            <w:pPr>
              <w:pStyle w:val="Bodytext91"/>
              <w:shd w:val="clear" w:color="auto" w:fill="auto"/>
              <w:spacing w:after="0" w:line="240" w:lineRule="auto"/>
              <w:ind w:left="460"/>
              <w:rPr>
                <w:b w:val="0"/>
                <w:color w:val="FFFFFF" w:themeColor="background1"/>
                <w:sz w:val="36"/>
                <w:szCs w:val="36"/>
                <w:highlight w:val="black"/>
              </w:rPr>
            </w:pPr>
            <w:r w:rsidRPr="00B718EA">
              <w:rPr>
                <w:b w:val="0"/>
                <w:color w:val="FFFFFF" w:themeColor="background1"/>
                <w:sz w:val="36"/>
                <w:szCs w:val="36"/>
                <w:highlight w:val="black"/>
              </w:rPr>
              <w:t xml:space="preserve">Supplier’s Perspective                    </w:t>
            </w:r>
          </w:p>
        </w:tc>
        <w:tc>
          <w:tcPr>
            <w:tcW w:w="4968" w:type="dxa"/>
            <w:tcBorders>
              <w:top w:val="nil"/>
              <w:left w:val="nil"/>
              <w:bottom w:val="nil"/>
              <w:right w:val="nil"/>
            </w:tcBorders>
            <w:shd w:val="clear" w:color="auto" w:fill="000000"/>
          </w:tcPr>
          <w:p w:rsidR="00B718EA" w:rsidRPr="00B718EA" w:rsidRDefault="00B718EA" w:rsidP="0085742A">
            <w:pPr>
              <w:pStyle w:val="Bodytext91"/>
              <w:shd w:val="clear" w:color="auto" w:fill="auto"/>
              <w:spacing w:after="0" w:line="240" w:lineRule="auto"/>
              <w:ind w:left="420"/>
              <w:rPr>
                <w:b w:val="0"/>
                <w:sz w:val="36"/>
                <w:szCs w:val="36"/>
                <w:highlight w:val="black"/>
              </w:rPr>
            </w:pPr>
            <w:r>
              <w:rPr>
                <w:b w:val="0"/>
                <w:sz w:val="36"/>
                <w:szCs w:val="36"/>
                <w:highlight w:val="black"/>
              </w:rPr>
              <w:t xml:space="preserve"> </w:t>
            </w:r>
            <w:r w:rsidRPr="00B718EA">
              <w:rPr>
                <w:b w:val="0"/>
                <w:sz w:val="36"/>
                <w:szCs w:val="36"/>
                <w:highlight w:val="black"/>
              </w:rPr>
              <w:t>Purchaser’ perspective</w:t>
            </w:r>
          </w:p>
        </w:tc>
      </w:tr>
      <w:tr w:rsidR="00B718EA" w:rsidTr="00B718EA">
        <w:trPr>
          <w:trHeight w:val="4454"/>
        </w:trPr>
        <w:tc>
          <w:tcPr>
            <w:tcW w:w="4436" w:type="dxa"/>
            <w:tcBorders>
              <w:top w:val="nil"/>
              <w:left w:val="single" w:sz="4" w:space="0" w:color="auto"/>
              <w:bottom w:val="single" w:sz="4" w:space="0" w:color="auto"/>
              <w:right w:val="single" w:sz="4" w:space="0" w:color="auto"/>
            </w:tcBorders>
            <w:shd w:val="clear" w:color="auto" w:fill="FFFFFF"/>
          </w:tcPr>
          <w:p w:rsidR="00B718EA" w:rsidRDefault="00B718EA" w:rsidP="0085742A">
            <w:pPr>
              <w:pStyle w:val="Bodytext71"/>
              <w:numPr>
                <w:ilvl w:val="0"/>
                <w:numId w:val="1"/>
              </w:numPr>
              <w:shd w:val="clear" w:color="auto" w:fill="auto"/>
              <w:tabs>
                <w:tab w:val="left" w:pos="661"/>
              </w:tabs>
              <w:spacing w:line="699" w:lineRule="exact"/>
              <w:ind w:left="280"/>
            </w:pPr>
            <w:r>
              <w:t>Guaranteed Payment</w:t>
            </w:r>
          </w:p>
          <w:p w:rsidR="00B718EA" w:rsidRDefault="00B718EA" w:rsidP="0085742A">
            <w:pPr>
              <w:pStyle w:val="Bodytext71"/>
              <w:numPr>
                <w:ilvl w:val="0"/>
                <w:numId w:val="1"/>
              </w:numPr>
              <w:shd w:val="clear" w:color="auto" w:fill="auto"/>
              <w:tabs>
                <w:tab w:val="left" w:pos="661"/>
              </w:tabs>
              <w:spacing w:line="699" w:lineRule="exact"/>
              <w:ind w:left="280"/>
            </w:pPr>
            <w:r>
              <w:t>Known Parameters</w:t>
            </w:r>
          </w:p>
          <w:p w:rsidR="00B718EA" w:rsidRDefault="00B718EA" w:rsidP="0085742A">
            <w:pPr>
              <w:pStyle w:val="Bodytext71"/>
              <w:numPr>
                <w:ilvl w:val="0"/>
                <w:numId w:val="1"/>
              </w:numPr>
              <w:shd w:val="clear" w:color="auto" w:fill="auto"/>
              <w:tabs>
                <w:tab w:val="left" w:pos="671"/>
              </w:tabs>
              <w:spacing w:line="699" w:lineRule="exact"/>
              <w:ind w:left="280"/>
            </w:pPr>
            <w:r>
              <w:t>Standardized Procedures</w:t>
            </w:r>
          </w:p>
          <w:p w:rsidR="00B718EA" w:rsidRDefault="00B718EA" w:rsidP="0085742A">
            <w:pPr>
              <w:pStyle w:val="Bodytext71"/>
              <w:numPr>
                <w:ilvl w:val="0"/>
                <w:numId w:val="1"/>
              </w:numPr>
              <w:shd w:val="clear" w:color="auto" w:fill="auto"/>
              <w:tabs>
                <w:tab w:val="left" w:pos="661"/>
              </w:tabs>
              <w:spacing w:line="699" w:lineRule="exact"/>
              <w:ind w:left="280"/>
            </w:pPr>
            <w:r>
              <w:t>Less Over Heads</w:t>
            </w:r>
          </w:p>
          <w:p w:rsidR="00B718EA" w:rsidRDefault="00B718EA" w:rsidP="0085742A">
            <w:pPr>
              <w:pStyle w:val="Bodytext71"/>
              <w:numPr>
                <w:ilvl w:val="0"/>
                <w:numId w:val="1"/>
              </w:numPr>
              <w:shd w:val="clear" w:color="auto" w:fill="auto"/>
              <w:tabs>
                <w:tab w:val="left" w:pos="671"/>
              </w:tabs>
              <w:spacing w:line="699" w:lineRule="exact"/>
              <w:ind w:left="280"/>
            </w:pPr>
            <w:r>
              <w:t>Long Term Values</w:t>
            </w:r>
          </w:p>
        </w:tc>
        <w:tc>
          <w:tcPr>
            <w:tcW w:w="4968" w:type="dxa"/>
            <w:tcBorders>
              <w:top w:val="nil"/>
              <w:left w:val="single" w:sz="4" w:space="0" w:color="auto"/>
              <w:bottom w:val="single" w:sz="4" w:space="0" w:color="auto"/>
              <w:right w:val="single" w:sz="4" w:space="0" w:color="auto"/>
            </w:tcBorders>
            <w:shd w:val="clear" w:color="auto" w:fill="FFFFFF"/>
          </w:tcPr>
          <w:p w:rsidR="00B718EA" w:rsidRDefault="00B718EA" w:rsidP="0085742A">
            <w:pPr>
              <w:pStyle w:val="Bodytext71"/>
              <w:numPr>
                <w:ilvl w:val="0"/>
                <w:numId w:val="2"/>
              </w:numPr>
              <w:shd w:val="clear" w:color="auto" w:fill="auto"/>
              <w:tabs>
                <w:tab w:val="left" w:pos="621"/>
              </w:tabs>
              <w:spacing w:line="699" w:lineRule="exact"/>
              <w:ind w:left="240"/>
            </w:pPr>
            <w:r>
              <w:t>Value for Money</w:t>
            </w:r>
          </w:p>
          <w:p w:rsidR="00B718EA" w:rsidRDefault="00B718EA" w:rsidP="0085742A">
            <w:pPr>
              <w:pStyle w:val="Bodytext71"/>
              <w:numPr>
                <w:ilvl w:val="0"/>
                <w:numId w:val="2"/>
              </w:numPr>
              <w:shd w:val="clear" w:color="auto" w:fill="auto"/>
              <w:tabs>
                <w:tab w:val="left" w:pos="631"/>
              </w:tabs>
              <w:spacing w:line="699" w:lineRule="exact"/>
              <w:ind w:left="240"/>
            </w:pPr>
            <w:r>
              <w:t>Effective Partnership</w:t>
            </w:r>
          </w:p>
          <w:p w:rsidR="00B718EA" w:rsidRDefault="00B718EA" w:rsidP="0085742A">
            <w:pPr>
              <w:pStyle w:val="Bodytext71"/>
              <w:numPr>
                <w:ilvl w:val="0"/>
                <w:numId w:val="2"/>
              </w:numPr>
              <w:shd w:val="clear" w:color="auto" w:fill="auto"/>
              <w:tabs>
                <w:tab w:val="left" w:pos="631"/>
              </w:tabs>
              <w:spacing w:line="699" w:lineRule="exact"/>
              <w:ind w:left="240"/>
            </w:pPr>
            <w:r>
              <w:t>Improved Quality Product</w:t>
            </w:r>
          </w:p>
          <w:p w:rsidR="00B718EA" w:rsidRDefault="00B718EA" w:rsidP="0085742A">
            <w:pPr>
              <w:pStyle w:val="Bodytext71"/>
              <w:numPr>
                <w:ilvl w:val="0"/>
                <w:numId w:val="2"/>
              </w:numPr>
              <w:shd w:val="clear" w:color="auto" w:fill="auto"/>
              <w:tabs>
                <w:tab w:val="left" w:pos="621"/>
              </w:tabs>
              <w:spacing w:line="699" w:lineRule="exact"/>
              <w:ind w:left="240"/>
            </w:pPr>
            <w:r>
              <w:t>Accountability and Transparency</w:t>
            </w:r>
          </w:p>
          <w:p w:rsidR="00B718EA" w:rsidRDefault="00B718EA" w:rsidP="0085742A">
            <w:pPr>
              <w:pStyle w:val="Bodytext71"/>
              <w:numPr>
                <w:ilvl w:val="0"/>
                <w:numId w:val="2"/>
              </w:numPr>
              <w:shd w:val="clear" w:color="auto" w:fill="auto"/>
              <w:tabs>
                <w:tab w:val="left" w:pos="621"/>
              </w:tabs>
              <w:spacing w:line="699" w:lineRule="exact"/>
              <w:ind w:left="240"/>
            </w:pPr>
            <w:r>
              <w:t>Improved Service Levels</w:t>
            </w:r>
          </w:p>
        </w:tc>
      </w:tr>
    </w:tbl>
    <w:p w:rsidR="00B718EA" w:rsidRDefault="00B718EA" w:rsidP="00B718EA">
      <w:pPr>
        <w:shd w:val="clear" w:color="auto" w:fill="FFFFFF"/>
        <w:spacing w:after="1920" w:line="240" w:lineRule="auto"/>
        <w:ind w:left="20"/>
        <w:outlineLvl w:val="0"/>
        <w:rPr>
          <w:rFonts w:ascii="Times New Roman" w:eastAsia="Times New Roman" w:hAnsi="Times New Roman" w:cs="Times New Roman"/>
          <w:b/>
          <w:bCs/>
          <w:sz w:val="52"/>
          <w:szCs w:val="52"/>
        </w:rPr>
      </w:pPr>
    </w:p>
    <w:p w:rsidR="00B718EA" w:rsidRPr="00CE3C4D" w:rsidRDefault="00B718EA" w:rsidP="00B718EA">
      <w:pPr>
        <w:pStyle w:val="Title"/>
        <w:rPr>
          <w:rFonts w:eastAsia="Times New Roman"/>
          <w:sz w:val="24"/>
          <w:szCs w:val="24"/>
        </w:rPr>
      </w:pPr>
      <w:r w:rsidRPr="00CE3C4D">
        <w:rPr>
          <w:rFonts w:eastAsia="Times New Roman"/>
        </w:rPr>
        <w:lastRenderedPageBreak/>
        <w:t>Benefits from Supplier's Perspectives</w:t>
      </w:r>
    </w:p>
    <w:p w:rsidR="00B718EA" w:rsidRDefault="00B25D70" w:rsidP="00B718EA">
      <w:pPr>
        <w:pStyle w:val="Heading1"/>
        <w:rPr>
          <w:rFonts w:eastAsia="Times New Roman"/>
        </w:rPr>
      </w:pPr>
      <w:r>
        <w:rPr>
          <w:rFonts w:eastAsia="Times New Roman"/>
          <w:noProof/>
        </w:rPr>
        <w:drawing>
          <wp:inline distT="0" distB="0" distL="0" distR="0">
            <wp:extent cx="2714625" cy="2743200"/>
            <wp:effectExtent l="19050" t="0" r="9525" b="0"/>
            <wp:docPr id="3" name="Picture 2" descr="bo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t.jpg"/>
                    <pic:cNvPicPr/>
                  </pic:nvPicPr>
                  <pic:blipFill>
                    <a:blip r:embed="rId6"/>
                    <a:srcRect t="1706" r="2730"/>
                    <a:stretch>
                      <a:fillRect/>
                    </a:stretch>
                  </pic:blipFill>
                  <pic:spPr>
                    <a:xfrm>
                      <a:off x="0" y="0"/>
                      <a:ext cx="2714625" cy="2743200"/>
                    </a:xfrm>
                    <a:prstGeom prst="rect">
                      <a:avLst/>
                    </a:prstGeom>
                  </pic:spPr>
                </pic:pic>
              </a:graphicData>
            </a:graphic>
          </wp:inline>
        </w:drawing>
      </w:r>
    </w:p>
    <w:p w:rsidR="00B718EA" w:rsidRPr="00CE3C4D" w:rsidRDefault="00B718EA" w:rsidP="00B718EA">
      <w:pPr>
        <w:pStyle w:val="Heading1"/>
        <w:rPr>
          <w:rFonts w:eastAsia="Times New Roman"/>
          <w:sz w:val="24"/>
          <w:szCs w:val="24"/>
        </w:rPr>
      </w:pPr>
      <w:r w:rsidRPr="00CE3C4D">
        <w:rPr>
          <w:rFonts w:eastAsia="Times New Roman"/>
        </w:rPr>
        <w:t>Guaranteed Payment</w:t>
      </w:r>
    </w:p>
    <w:p w:rsidR="00B718EA" w:rsidRPr="00CE3C4D" w:rsidRDefault="00B718EA" w:rsidP="00B718EA">
      <w:pPr>
        <w:shd w:val="clear" w:color="auto" w:fill="FFFFFF"/>
        <w:spacing w:before="480" w:after="300" w:line="381" w:lineRule="exact"/>
        <w:ind w:left="2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If we look at other forms of marketing such as advertising, telemarketing, direct mail and sales representation, there is generally a lot of expense involved in identifying clients who can use your service or product. It can take quite some time to get this cold market to the proposal stage of the sale, not to mention the often lengthy decision making process &amp; changing requirements of each decision maker. Often initial sales to a new prospect have extremely low margins in the hope they will repurchase and at the end of the day we have to allow for</w:t>
      </w:r>
      <w:r>
        <w:rPr>
          <w:rFonts w:ascii="Times New Roman" w:eastAsia="Times New Roman" w:hAnsi="Times New Roman" w:cs="Times New Roman"/>
          <w:sz w:val="28"/>
          <w:szCs w:val="28"/>
        </w:rPr>
        <w:t xml:space="preserve"> </w:t>
      </w:r>
      <w:r w:rsidRPr="00CE3C4D">
        <w:rPr>
          <w:rFonts w:ascii="Times New Roman" w:eastAsia="Times New Roman" w:hAnsi="Times New Roman" w:cs="Times New Roman"/>
          <w:sz w:val="28"/>
          <w:szCs w:val="28"/>
        </w:rPr>
        <w:t>bad debts.</w:t>
      </w:r>
    </w:p>
    <w:p w:rsidR="00B718EA" w:rsidRDefault="00B718EA" w:rsidP="00B718EA">
      <w:pPr>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It is from this view that tendering offers a fresh way to market your business. The prospect is already aware they need your services, they have already allocated a budget, payment is guaranteed (from government) and business starts at the proposal stage i.e. the tender.</w:t>
      </w:r>
    </w:p>
    <w:p w:rsidR="00B718EA" w:rsidRDefault="00B718EA" w:rsidP="00B718EA">
      <w:pPr>
        <w:shd w:val="clear" w:color="auto" w:fill="FFFFFF"/>
        <w:spacing w:after="420" w:line="240" w:lineRule="auto"/>
        <w:ind w:left="80"/>
        <w:outlineLvl w:val="0"/>
        <w:rPr>
          <w:rFonts w:ascii="Times New Roman" w:eastAsia="Times New Roman" w:hAnsi="Times New Roman" w:cs="Times New Roman"/>
          <w:b/>
          <w:bCs/>
          <w:sz w:val="28"/>
          <w:szCs w:val="28"/>
        </w:rPr>
      </w:pPr>
      <w:bookmarkStart w:id="0" w:name="bookmark0"/>
    </w:p>
    <w:p w:rsidR="00B718EA" w:rsidRPr="00CE3C4D" w:rsidRDefault="00B718EA" w:rsidP="00B718EA">
      <w:pPr>
        <w:pStyle w:val="Heading1"/>
        <w:rPr>
          <w:rFonts w:eastAsia="Times New Roman"/>
        </w:rPr>
      </w:pPr>
      <w:r w:rsidRPr="00CE3C4D">
        <w:rPr>
          <w:rFonts w:eastAsia="Times New Roman"/>
        </w:rPr>
        <w:lastRenderedPageBreak/>
        <w:t>Known Parameters</w:t>
      </w:r>
      <w:bookmarkEnd w:id="0"/>
    </w:p>
    <w:p w:rsidR="00B718EA" w:rsidRPr="00CE3C4D" w:rsidRDefault="00B718EA" w:rsidP="00B718EA">
      <w:pPr>
        <w:shd w:val="clear" w:color="auto" w:fill="FFFFFF"/>
        <w:spacing w:before="420" w:after="420" w:line="370" w:lineRule="exact"/>
        <w:ind w:left="8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Because of the logical purchasing procedures in a tender, there tends to be less changing of parameters. The objectives of both the purchasing organization &amp; the sales organization are clear from the beginning. Dealing with organizations that have clear objectives, an established need, known requirement, set budgets along with a purchasing process to follow, make an ideal prospect to be dealing with when compared with the often frustrating changes involved in a conventional sale.</w:t>
      </w:r>
    </w:p>
    <w:p w:rsidR="00B718EA" w:rsidRPr="00CE3C4D" w:rsidRDefault="00B718EA" w:rsidP="00B718EA">
      <w:pPr>
        <w:pStyle w:val="Heading1"/>
        <w:rPr>
          <w:rFonts w:eastAsia="Times New Roman"/>
        </w:rPr>
      </w:pPr>
      <w:r w:rsidRPr="00CE3C4D">
        <w:rPr>
          <w:rFonts w:eastAsia="Times New Roman"/>
        </w:rPr>
        <w:t>Standardized Procedures</w:t>
      </w:r>
    </w:p>
    <w:p w:rsidR="00B718EA" w:rsidRPr="00CE3C4D" w:rsidRDefault="00B718EA" w:rsidP="00B718EA">
      <w:pPr>
        <w:shd w:val="clear" w:color="auto" w:fill="FFFFFF"/>
        <w:spacing w:before="420" w:after="420" w:line="381" w:lineRule="exact"/>
        <w:ind w:left="8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With the tender response you do not have to start from scratch. With every tender document you prepare, many key areas can be standardized and adjusted as required.</w:t>
      </w:r>
    </w:p>
    <w:p w:rsidR="00B718EA" w:rsidRPr="00CE3C4D" w:rsidRDefault="00B718EA" w:rsidP="00B718EA">
      <w:pPr>
        <w:pStyle w:val="Heading1"/>
        <w:rPr>
          <w:rFonts w:eastAsia="Times New Roman"/>
        </w:rPr>
      </w:pPr>
      <w:r w:rsidRPr="00CE3C4D">
        <w:rPr>
          <w:rFonts w:eastAsia="Times New Roman"/>
        </w:rPr>
        <w:t>Less Overheads</w:t>
      </w:r>
    </w:p>
    <w:p w:rsidR="00B718EA" w:rsidRPr="00CE3C4D" w:rsidRDefault="00B718EA" w:rsidP="00B718EA">
      <w:pPr>
        <w:shd w:val="clear" w:color="auto" w:fill="FFFFFF"/>
        <w:spacing w:before="420" w:after="420" w:line="381" w:lineRule="exact"/>
        <w:ind w:left="8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 xml:space="preserve">Once you have the tender in front of you, it is usually straight to the proposal stage. There is no advertising expense, no sales person's </w:t>
      </w:r>
      <w:proofErr w:type="gramStart"/>
      <w:r w:rsidRPr="00CE3C4D">
        <w:rPr>
          <w:rFonts w:ascii="Times New Roman" w:eastAsia="Times New Roman" w:hAnsi="Times New Roman" w:cs="Times New Roman"/>
          <w:sz w:val="28"/>
          <w:szCs w:val="28"/>
        </w:rPr>
        <w:t>expense,</w:t>
      </w:r>
      <w:proofErr w:type="gramEnd"/>
      <w:r w:rsidRPr="00CE3C4D">
        <w:rPr>
          <w:rFonts w:ascii="Times New Roman" w:eastAsia="Times New Roman" w:hAnsi="Times New Roman" w:cs="Times New Roman"/>
          <w:sz w:val="28"/>
          <w:szCs w:val="28"/>
        </w:rPr>
        <w:t xml:space="preserve"> no negotiation on price, no preferable treatment, every tender application is viewed upon its ability </w:t>
      </w:r>
      <w:r w:rsidR="00A60CDD">
        <w:rPr>
          <w:rFonts w:ascii="Times New Roman" w:eastAsia="Times New Roman" w:hAnsi="Times New Roman" w:cs="Times New Roman"/>
          <w:sz w:val="28"/>
          <w:szCs w:val="28"/>
        </w:rPr>
        <w:t>to</w:t>
      </w:r>
      <w:r w:rsidRPr="00CE3C4D">
        <w:rPr>
          <w:rFonts w:ascii="Times New Roman" w:eastAsia="Times New Roman" w:hAnsi="Times New Roman" w:cs="Times New Roman"/>
          <w:sz w:val="28"/>
          <w:szCs w:val="28"/>
        </w:rPr>
        <w:t xml:space="preserve"> meet the requirements of the tender.</w:t>
      </w:r>
    </w:p>
    <w:p w:rsidR="00B718EA" w:rsidRPr="00CE3C4D" w:rsidRDefault="00B718EA" w:rsidP="00B718EA">
      <w:pPr>
        <w:pStyle w:val="Heading1"/>
        <w:rPr>
          <w:rFonts w:eastAsia="Times New Roman"/>
        </w:rPr>
      </w:pPr>
      <w:r w:rsidRPr="00CE3C4D">
        <w:rPr>
          <w:rFonts w:eastAsia="Times New Roman"/>
        </w:rPr>
        <w:t>Long Term Value</w:t>
      </w:r>
    </w:p>
    <w:p w:rsidR="00B718EA" w:rsidRPr="00CE3C4D" w:rsidRDefault="00B718EA" w:rsidP="00B718EA">
      <w:pPr>
        <w:shd w:val="clear" w:color="auto" w:fill="FFFFFF"/>
        <w:spacing w:before="420" w:after="360" w:line="381" w:lineRule="exact"/>
        <w:ind w:left="8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Look at the long term value of a tender; even if you do not win the tender, perhaps the department still needs ongoing services or supplies that they have not requested in their tender brief.</w:t>
      </w:r>
    </w:p>
    <w:p w:rsidR="00B718EA" w:rsidRPr="00CE3C4D" w:rsidRDefault="00B718EA" w:rsidP="00B718EA">
      <w:pPr>
        <w:shd w:val="clear" w:color="auto" w:fill="FFFFFF"/>
        <w:spacing w:before="360" w:after="0" w:line="370" w:lineRule="exact"/>
        <w:ind w:left="80" w:right="40"/>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 xml:space="preserve">For example; a tender for supply of a photocopier, may have simply requested the copier but there will be ongoing supplies related to the copier such as paper, toner, servicing, etc. Often by building a relationship with the organization </w:t>
      </w:r>
      <w:proofErr w:type="gramStart"/>
      <w:r w:rsidRPr="00CE3C4D">
        <w:rPr>
          <w:rFonts w:ascii="Times New Roman" w:eastAsia="Times New Roman" w:hAnsi="Times New Roman" w:cs="Times New Roman"/>
          <w:sz w:val="28"/>
          <w:szCs w:val="28"/>
        </w:rPr>
        <w:t>who</w:t>
      </w:r>
      <w:proofErr w:type="gramEnd"/>
      <w:r w:rsidRPr="00CE3C4D">
        <w:rPr>
          <w:rFonts w:ascii="Times New Roman" w:eastAsia="Times New Roman" w:hAnsi="Times New Roman" w:cs="Times New Roman"/>
          <w:sz w:val="28"/>
          <w:szCs w:val="28"/>
        </w:rPr>
        <w:t xml:space="preserve"> have put the work out to tender, you may find you will be able to provide other areas not included in the tender or assist in their ongoing requirements.</w:t>
      </w:r>
    </w:p>
    <w:p w:rsidR="00B718EA" w:rsidRPr="00F158C1" w:rsidRDefault="00B718EA" w:rsidP="00B718EA">
      <w:pPr>
        <w:pStyle w:val="Title"/>
        <w:rPr>
          <w:rFonts w:eastAsia="Times New Roman"/>
        </w:rPr>
      </w:pPr>
      <w:r w:rsidRPr="00F158C1">
        <w:rPr>
          <w:rFonts w:eastAsia="Times New Roman"/>
        </w:rPr>
        <w:lastRenderedPageBreak/>
        <w:t>Benefits from Purchaser's Perspectives</w:t>
      </w: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171450</wp:posOffset>
            </wp:positionH>
            <wp:positionV relativeFrom="margin">
              <wp:posOffset>857250</wp:posOffset>
            </wp:positionV>
            <wp:extent cx="3657600" cy="4679315"/>
            <wp:effectExtent l="19050" t="0" r="0" b="0"/>
            <wp:wrapSquare wrapText="bothSides"/>
            <wp:docPr id="4" name="Picture 3" descr="understanding_bu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tanding_buyer.jpg"/>
                    <pic:cNvPicPr/>
                  </pic:nvPicPr>
                  <pic:blipFill>
                    <a:blip r:embed="rId7"/>
                    <a:stretch>
                      <a:fillRect/>
                    </a:stretch>
                  </pic:blipFill>
                  <pic:spPr>
                    <a:xfrm>
                      <a:off x="0" y="0"/>
                      <a:ext cx="3657600" cy="4679315"/>
                    </a:xfrm>
                    <a:prstGeom prst="rect">
                      <a:avLst/>
                    </a:prstGeom>
                  </pic:spPr>
                </pic:pic>
              </a:graphicData>
            </a:graphic>
          </wp:anchor>
        </w:drawing>
      </w:r>
    </w:p>
    <w:p w:rsidR="00B25D70" w:rsidRDefault="00B25D70" w:rsidP="00B25D70">
      <w:pPr>
        <w:shd w:val="clear" w:color="auto" w:fill="FFFFFF"/>
        <w:spacing w:before="480" w:after="420" w:line="381" w:lineRule="exact"/>
        <w:ind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25D70" w:rsidRDefault="00B25D70"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p>
    <w:p w:rsidR="00B718EA" w:rsidRPr="00F158C1" w:rsidRDefault="00B718EA" w:rsidP="00B718EA">
      <w:pPr>
        <w:shd w:val="clear" w:color="auto" w:fill="FFFFFF"/>
        <w:spacing w:before="480" w:after="420" w:line="381" w:lineRule="exact"/>
        <w:ind w:left="80" w:right="60"/>
        <w:jc w:val="both"/>
        <w:rPr>
          <w:rFonts w:ascii="Times New Roman" w:eastAsia="Times New Roman" w:hAnsi="Times New Roman" w:cs="Times New Roman"/>
          <w:sz w:val="28"/>
          <w:szCs w:val="28"/>
        </w:rPr>
      </w:pPr>
      <w:r w:rsidRPr="00F158C1">
        <w:rPr>
          <w:rFonts w:ascii="Times New Roman" w:eastAsia="Times New Roman" w:hAnsi="Times New Roman" w:cs="Times New Roman"/>
          <w:sz w:val="28"/>
          <w:szCs w:val="28"/>
        </w:rPr>
        <w:t>The common benefits that government departments gain through tendering include:</w:t>
      </w:r>
    </w:p>
    <w:p w:rsidR="00B718EA" w:rsidRPr="00F158C1" w:rsidRDefault="00B718EA" w:rsidP="00B718EA">
      <w:pPr>
        <w:pStyle w:val="Heading1"/>
        <w:rPr>
          <w:rFonts w:eastAsia="Times New Roman"/>
        </w:rPr>
      </w:pPr>
      <w:r w:rsidRPr="00F158C1">
        <w:rPr>
          <w:rFonts w:eastAsia="Times New Roman"/>
        </w:rPr>
        <w:t>Value of Money</w:t>
      </w:r>
    </w:p>
    <w:p w:rsidR="00B718EA" w:rsidRDefault="00B718EA" w:rsidP="00B718EA">
      <w:pPr>
        <w:shd w:val="clear" w:color="auto" w:fill="FFFFFF"/>
        <w:spacing w:before="480" w:after="0" w:line="802" w:lineRule="exact"/>
        <w:ind w:left="80" w:right="860"/>
        <w:rPr>
          <w:rFonts w:ascii="Times New Roman" w:eastAsia="Times New Roman" w:hAnsi="Times New Roman" w:cs="Times New Roman"/>
          <w:sz w:val="28"/>
          <w:szCs w:val="28"/>
        </w:rPr>
      </w:pPr>
      <w:r w:rsidRPr="00F158C1">
        <w:rPr>
          <w:rFonts w:ascii="Times New Roman" w:eastAsia="Times New Roman" w:hAnsi="Times New Roman" w:cs="Times New Roman"/>
          <w:sz w:val="28"/>
          <w:szCs w:val="28"/>
        </w:rPr>
        <w:t xml:space="preserve">The value of money is gained through price efficiencies. </w:t>
      </w:r>
    </w:p>
    <w:p w:rsidR="00B718EA" w:rsidRDefault="00B718EA" w:rsidP="00B718EA">
      <w:pPr>
        <w:pStyle w:val="Heading1"/>
        <w:rPr>
          <w:rFonts w:eastAsia="Times New Roman"/>
        </w:rPr>
      </w:pPr>
      <w:r w:rsidRPr="00F158C1">
        <w:rPr>
          <w:rFonts w:eastAsia="Times New Roman"/>
        </w:rPr>
        <w:lastRenderedPageBreak/>
        <w:t>Effective Partnership</w:t>
      </w:r>
    </w:p>
    <w:p w:rsidR="00B718EA" w:rsidRDefault="00B718EA" w:rsidP="00B718EA">
      <w:pPr>
        <w:shd w:val="clear" w:color="auto" w:fill="FFFFFF"/>
        <w:spacing w:after="420" w:line="381" w:lineRule="exact"/>
        <w:ind w:right="60"/>
        <w:jc w:val="both"/>
        <w:rPr>
          <w:rFonts w:ascii="Times New Roman" w:eastAsia="Times New Roman" w:hAnsi="Times New Roman" w:cs="Times New Roman"/>
          <w:sz w:val="28"/>
          <w:szCs w:val="28"/>
        </w:rPr>
      </w:pPr>
    </w:p>
    <w:p w:rsidR="00B718EA" w:rsidRPr="00F158C1" w:rsidRDefault="00B718EA" w:rsidP="00B718EA">
      <w:pPr>
        <w:shd w:val="clear" w:color="auto" w:fill="FFFFFF"/>
        <w:spacing w:after="420" w:line="381" w:lineRule="exact"/>
        <w:ind w:right="60"/>
        <w:jc w:val="both"/>
        <w:rPr>
          <w:rFonts w:ascii="Times New Roman" w:eastAsia="Times New Roman" w:hAnsi="Times New Roman" w:cs="Times New Roman"/>
          <w:sz w:val="28"/>
          <w:szCs w:val="28"/>
        </w:rPr>
      </w:pPr>
      <w:proofErr w:type="gramStart"/>
      <w:r w:rsidRPr="00F158C1">
        <w:rPr>
          <w:rFonts w:ascii="Times New Roman" w:eastAsia="Times New Roman" w:hAnsi="Times New Roman" w:cs="Times New Roman"/>
          <w:sz w:val="28"/>
          <w:szCs w:val="28"/>
        </w:rPr>
        <w:t>Establishing effective partnership arrangements with the private sector that enables departments to gain access to world class expertise and access to international markets.</w:t>
      </w:r>
      <w:proofErr w:type="gramEnd"/>
    </w:p>
    <w:p w:rsidR="00B718EA" w:rsidRPr="00F158C1" w:rsidRDefault="00B718EA" w:rsidP="00B718EA">
      <w:pPr>
        <w:pStyle w:val="Heading1"/>
        <w:rPr>
          <w:rFonts w:eastAsia="Times New Roman"/>
        </w:rPr>
      </w:pPr>
      <w:r w:rsidRPr="00F158C1">
        <w:rPr>
          <w:rFonts w:eastAsia="Times New Roman"/>
        </w:rPr>
        <w:t>Improved Quality Product</w:t>
      </w:r>
    </w:p>
    <w:p w:rsidR="00B718EA" w:rsidRPr="00F158C1" w:rsidRDefault="00B718EA" w:rsidP="00B718EA">
      <w:pPr>
        <w:shd w:val="clear" w:color="auto" w:fill="FFFFFF"/>
        <w:spacing w:before="420" w:after="420" w:line="391" w:lineRule="exact"/>
        <w:ind w:left="80" w:right="60"/>
        <w:jc w:val="both"/>
        <w:rPr>
          <w:rFonts w:ascii="Times New Roman" w:eastAsia="Times New Roman" w:hAnsi="Times New Roman" w:cs="Times New Roman"/>
          <w:sz w:val="28"/>
          <w:szCs w:val="28"/>
        </w:rPr>
      </w:pPr>
      <w:r w:rsidRPr="00F158C1">
        <w:rPr>
          <w:rFonts w:ascii="Times New Roman" w:eastAsia="Times New Roman" w:hAnsi="Times New Roman" w:cs="Times New Roman"/>
          <w:sz w:val="28"/>
          <w:szCs w:val="28"/>
        </w:rPr>
        <w:t xml:space="preserve">An improvement in quality and a vision for innovation is usually provided through </w:t>
      </w:r>
      <w:proofErr w:type="gramStart"/>
      <w:r w:rsidRPr="00F158C1">
        <w:rPr>
          <w:rFonts w:ascii="Times New Roman" w:eastAsia="Times New Roman" w:hAnsi="Times New Roman" w:cs="Times New Roman"/>
          <w:sz w:val="28"/>
          <w:szCs w:val="28"/>
        </w:rPr>
        <w:t>suppliers</w:t>
      </w:r>
      <w:proofErr w:type="gramEnd"/>
      <w:r w:rsidRPr="00F158C1">
        <w:rPr>
          <w:rFonts w:ascii="Times New Roman" w:eastAsia="Times New Roman" w:hAnsi="Times New Roman" w:cs="Times New Roman"/>
          <w:sz w:val="28"/>
          <w:szCs w:val="28"/>
        </w:rPr>
        <w:t xml:space="preserve"> competition.</w:t>
      </w:r>
    </w:p>
    <w:p w:rsidR="00B718EA" w:rsidRPr="00F158C1" w:rsidRDefault="00B718EA" w:rsidP="00B718EA">
      <w:pPr>
        <w:pStyle w:val="Heading1"/>
        <w:rPr>
          <w:rFonts w:eastAsia="Times New Roman"/>
        </w:rPr>
      </w:pPr>
      <w:r w:rsidRPr="00F158C1">
        <w:rPr>
          <w:rFonts w:eastAsia="Times New Roman"/>
        </w:rPr>
        <w:t>Accountability &amp; Transparency</w:t>
      </w:r>
    </w:p>
    <w:p w:rsidR="00B718EA" w:rsidRPr="00F158C1" w:rsidRDefault="00B718EA" w:rsidP="00B718EA">
      <w:pPr>
        <w:shd w:val="clear" w:color="auto" w:fill="FFFFFF"/>
        <w:spacing w:before="420" w:after="420" w:line="391" w:lineRule="exact"/>
        <w:ind w:left="80" w:right="60"/>
        <w:jc w:val="both"/>
        <w:rPr>
          <w:rFonts w:ascii="Times New Roman" w:eastAsia="Times New Roman" w:hAnsi="Times New Roman" w:cs="Times New Roman"/>
          <w:sz w:val="28"/>
          <w:szCs w:val="28"/>
        </w:rPr>
      </w:pPr>
      <w:r w:rsidRPr="00F158C1">
        <w:rPr>
          <w:rFonts w:ascii="Times New Roman" w:eastAsia="Times New Roman" w:hAnsi="Times New Roman" w:cs="Times New Roman"/>
          <w:sz w:val="28"/>
          <w:szCs w:val="28"/>
        </w:rPr>
        <w:t>An improvement in accountability and transparency is gained through tendering process and open competition.</w:t>
      </w:r>
    </w:p>
    <w:p w:rsidR="00B718EA" w:rsidRPr="00F158C1" w:rsidRDefault="00B718EA" w:rsidP="00B718EA">
      <w:pPr>
        <w:pStyle w:val="Heading1"/>
        <w:rPr>
          <w:rFonts w:eastAsia="Times New Roman"/>
        </w:rPr>
      </w:pPr>
      <w:r w:rsidRPr="00F158C1">
        <w:rPr>
          <w:rFonts w:eastAsia="Times New Roman"/>
        </w:rPr>
        <w:t>Improved Service Levels</w:t>
      </w:r>
    </w:p>
    <w:p w:rsidR="00B718EA" w:rsidRPr="00F158C1" w:rsidRDefault="00B718EA" w:rsidP="00B718EA">
      <w:pPr>
        <w:shd w:val="clear" w:color="auto" w:fill="FFFFFF"/>
        <w:spacing w:before="480" w:after="480" w:line="391" w:lineRule="exact"/>
        <w:ind w:left="80" w:right="60"/>
        <w:jc w:val="both"/>
        <w:rPr>
          <w:rFonts w:ascii="Times New Roman" w:eastAsia="Times New Roman" w:hAnsi="Times New Roman" w:cs="Times New Roman"/>
          <w:sz w:val="28"/>
          <w:szCs w:val="28"/>
        </w:rPr>
      </w:pPr>
      <w:r w:rsidRPr="00F158C1">
        <w:rPr>
          <w:rFonts w:ascii="Times New Roman" w:eastAsia="Times New Roman" w:hAnsi="Times New Roman" w:cs="Times New Roman"/>
          <w:sz w:val="28"/>
          <w:szCs w:val="28"/>
        </w:rPr>
        <w:t>Greater internal flexibility and improved mechanisms such as service level agreements which can be measured and tied to a contract.</w:t>
      </w:r>
    </w:p>
    <w:p w:rsidR="00B718EA" w:rsidRPr="00F158C1" w:rsidRDefault="00B718EA" w:rsidP="00B718EA">
      <w:pPr>
        <w:pStyle w:val="Heading1"/>
        <w:rPr>
          <w:rFonts w:eastAsia="Times New Roman"/>
        </w:rPr>
      </w:pPr>
      <w:r w:rsidRPr="00F158C1">
        <w:rPr>
          <w:rFonts w:eastAsia="Times New Roman"/>
        </w:rPr>
        <w:t>Cost Benefit Analysis</w:t>
      </w:r>
    </w:p>
    <w:p w:rsidR="00B718EA" w:rsidRPr="00B25D70" w:rsidRDefault="00B718EA" w:rsidP="00B718EA">
      <w:pPr>
        <w:shd w:val="clear" w:color="auto" w:fill="FFFFFF"/>
        <w:spacing w:before="480" w:after="0" w:line="370" w:lineRule="exact"/>
        <w:ind w:left="80" w:right="60"/>
        <w:jc w:val="both"/>
        <w:rPr>
          <w:rFonts w:ascii="Times New Roman" w:hAnsi="Times New Roman" w:cs="Times New Roman"/>
          <w:sz w:val="28"/>
          <w:szCs w:val="28"/>
        </w:rPr>
      </w:pPr>
      <w:r w:rsidRPr="00B25D70">
        <w:rPr>
          <w:rFonts w:ascii="Times New Roman" w:eastAsia="Times New Roman" w:hAnsi="Times New Roman" w:cs="Times New Roman"/>
          <w:sz w:val="28"/>
          <w:szCs w:val="28"/>
        </w:rPr>
        <w:t xml:space="preserve">A cost benefit analysis of tendering can be completed by the tendering department to justify a contract with a supplier or contractor, or to periodically re-confirm the merits of staying with the current provider. When completing a cost benefit analysis considerations are given to </w:t>
      </w:r>
      <w:r w:rsidRPr="00B25D70">
        <w:rPr>
          <w:rFonts w:ascii="Times New Roman" w:hAnsi="Times New Roman" w:cs="Times New Roman"/>
          <w:sz w:val="28"/>
          <w:szCs w:val="28"/>
        </w:rPr>
        <w:t>the following benefits that are cost related, management related and strategic related, as illustrated in the following table.</w:t>
      </w:r>
    </w:p>
    <w:p w:rsidR="00B718EA" w:rsidRPr="00F158C1" w:rsidRDefault="00B718EA" w:rsidP="00B718EA">
      <w:pPr>
        <w:shd w:val="clear" w:color="auto" w:fill="FFFFFF"/>
        <w:spacing w:before="480" w:after="0" w:line="370" w:lineRule="exact"/>
        <w:ind w:left="80" w:right="60"/>
        <w:jc w:val="both"/>
        <w:rPr>
          <w:rFonts w:ascii="Times New Roman" w:eastAsia="Times New Roman" w:hAnsi="Times New Roman" w:cs="Times New Roman"/>
          <w:sz w:val="28"/>
          <w:szCs w:val="28"/>
        </w:rPr>
      </w:pPr>
    </w:p>
    <w:tbl>
      <w:tblPr>
        <w:tblW w:w="0" w:type="auto"/>
        <w:tblLayout w:type="fixed"/>
        <w:tblCellMar>
          <w:left w:w="0" w:type="dxa"/>
          <w:right w:w="0" w:type="dxa"/>
        </w:tblCellMar>
        <w:tblLook w:val="0000"/>
      </w:tblPr>
      <w:tblGrid>
        <w:gridCol w:w="885"/>
        <w:gridCol w:w="6531"/>
      </w:tblGrid>
      <w:tr w:rsidR="00B718EA" w:rsidRPr="00F158C1" w:rsidTr="0085742A">
        <w:trPr>
          <w:trHeight w:val="987"/>
        </w:trPr>
        <w:tc>
          <w:tcPr>
            <w:tcW w:w="885" w:type="dxa"/>
            <w:tcBorders>
              <w:top w:val="nil"/>
              <w:left w:val="nil"/>
              <w:bottom w:val="nil"/>
              <w:right w:val="nil"/>
            </w:tcBorders>
            <w:shd w:val="clear" w:color="auto" w:fill="000000"/>
          </w:tcPr>
          <w:p w:rsidR="00B718EA" w:rsidRPr="00F158C1" w:rsidRDefault="00B718EA" w:rsidP="0085742A">
            <w:pPr>
              <w:spacing w:after="0" w:line="240" w:lineRule="auto"/>
              <w:rPr>
                <w:rFonts w:ascii="Times New Roman" w:eastAsia="Times New Roman" w:hAnsi="Times New Roman" w:cs="Times New Roman"/>
                <w:sz w:val="10"/>
                <w:szCs w:val="10"/>
              </w:rPr>
            </w:pPr>
          </w:p>
        </w:tc>
        <w:tc>
          <w:tcPr>
            <w:tcW w:w="6531" w:type="dxa"/>
            <w:tcBorders>
              <w:top w:val="nil"/>
              <w:left w:val="nil"/>
              <w:bottom w:val="nil"/>
              <w:right w:val="nil"/>
            </w:tcBorders>
            <w:shd w:val="clear" w:color="auto" w:fill="000000"/>
          </w:tcPr>
          <w:p w:rsidR="00B718EA" w:rsidRDefault="00B718EA" w:rsidP="0085742A">
            <w:pPr>
              <w:spacing w:after="0" w:line="278" w:lineRule="exact"/>
              <w:ind w:left="2020" w:hanging="680"/>
              <w:rPr>
                <w:rFonts w:ascii="Times New Roman" w:eastAsia="Times New Roman" w:hAnsi="Times New Roman" w:cs="Times New Roman"/>
                <w:b/>
                <w:bCs/>
                <w:color w:val="FFFFFF"/>
                <w:sz w:val="60"/>
                <w:szCs w:val="60"/>
              </w:rPr>
            </w:pPr>
          </w:p>
          <w:p w:rsidR="00B718EA" w:rsidRPr="00F158C1" w:rsidRDefault="00B718EA" w:rsidP="00B718EA">
            <w:pPr>
              <w:rPr>
                <w:rFonts w:ascii="Times New Roman" w:hAnsi="Times New Roman" w:cs="Times New Roman"/>
                <w:sz w:val="52"/>
                <w:szCs w:val="52"/>
              </w:rPr>
            </w:pPr>
            <w:r>
              <w:rPr>
                <w:rFonts w:ascii="Times New Roman" w:hAnsi="Times New Roman" w:cs="Times New Roman"/>
                <w:sz w:val="52"/>
                <w:szCs w:val="52"/>
              </w:rPr>
              <w:t xml:space="preserve">        </w:t>
            </w:r>
            <w:r w:rsidRPr="00F158C1">
              <w:rPr>
                <w:rFonts w:ascii="Times New Roman" w:hAnsi="Times New Roman" w:cs="Times New Roman"/>
                <w:sz w:val="52"/>
                <w:szCs w:val="52"/>
              </w:rPr>
              <w:t xml:space="preserve">Key Factors </w:t>
            </w:r>
          </w:p>
        </w:tc>
      </w:tr>
      <w:tr w:rsidR="00B718EA" w:rsidRPr="00F158C1" w:rsidTr="0085742A">
        <w:trPr>
          <w:trHeight w:val="761"/>
        </w:trPr>
        <w:tc>
          <w:tcPr>
            <w:tcW w:w="7416" w:type="dxa"/>
            <w:gridSpan w:val="2"/>
            <w:tcBorders>
              <w:top w:val="nil"/>
              <w:left w:val="single" w:sz="4" w:space="0" w:color="auto"/>
              <w:bottom w:val="nil"/>
              <w:right w:val="single" w:sz="4" w:space="0" w:color="auto"/>
            </w:tcBorders>
            <w:shd w:val="clear" w:color="auto" w:fill="FFFFFF"/>
          </w:tcPr>
          <w:p w:rsidR="00B718EA" w:rsidRPr="00F158C1" w:rsidRDefault="00B718EA" w:rsidP="0085742A">
            <w:pPr>
              <w:spacing w:after="0" w:line="240" w:lineRule="auto"/>
              <w:ind w:left="200"/>
              <w:rPr>
                <w:rFonts w:ascii="Times New Roman" w:eastAsia="Times New Roman" w:hAnsi="Times New Roman" w:cs="Times New Roman"/>
                <w:sz w:val="24"/>
                <w:szCs w:val="24"/>
              </w:rPr>
            </w:pPr>
            <w:r w:rsidRPr="00F158C1">
              <w:rPr>
                <w:rFonts w:ascii="Times New Roman" w:eastAsia="Times New Roman" w:hAnsi="Times New Roman" w:cs="Times New Roman"/>
                <w:b/>
                <w:bCs/>
                <w:sz w:val="34"/>
                <w:szCs w:val="34"/>
              </w:rPr>
              <w:t>Cost Related</w:t>
            </w:r>
          </w:p>
        </w:tc>
      </w:tr>
      <w:tr w:rsidR="00B718EA" w:rsidRPr="00F158C1" w:rsidTr="0085742A">
        <w:trPr>
          <w:trHeight w:val="576"/>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ahoma" w:eastAsia="Times New Roman" w:hAnsi="Tahoma" w:cs="Tahoma"/>
                <w:b/>
                <w:bCs/>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Convert fixed costs to variable costs.</w:t>
            </w:r>
          </w:p>
        </w:tc>
      </w:tr>
      <w:tr w:rsidR="00B718EA" w:rsidRPr="00F158C1" w:rsidTr="0085742A">
        <w:trPr>
          <w:trHeight w:val="411"/>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Competition reduces costs.</w:t>
            </w:r>
          </w:p>
        </w:tc>
      </w:tr>
      <w:tr w:rsidR="00B718EA" w:rsidRPr="00F158C1" w:rsidTr="0085742A">
        <w:trPr>
          <w:trHeight w:val="370"/>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Costs are fixed for a known period.</w:t>
            </w:r>
          </w:p>
        </w:tc>
      </w:tr>
      <w:tr w:rsidR="00B718EA" w:rsidRPr="00F158C1" w:rsidTr="0085742A">
        <w:trPr>
          <w:trHeight w:val="566"/>
        </w:trPr>
        <w:tc>
          <w:tcPr>
            <w:tcW w:w="885" w:type="dxa"/>
            <w:tcBorders>
              <w:top w:val="nil"/>
              <w:left w:val="single" w:sz="4" w:space="0" w:color="auto"/>
              <w:bottom w:val="single" w:sz="4" w:space="0" w:color="auto"/>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single" w:sz="4" w:space="0" w:color="auto"/>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Overheads are reduced.</w:t>
            </w:r>
          </w:p>
        </w:tc>
      </w:tr>
      <w:tr w:rsidR="00B718EA" w:rsidRPr="00F158C1" w:rsidTr="0085742A">
        <w:trPr>
          <w:trHeight w:val="792"/>
        </w:trPr>
        <w:tc>
          <w:tcPr>
            <w:tcW w:w="7416" w:type="dxa"/>
            <w:gridSpan w:val="2"/>
            <w:tcBorders>
              <w:top w:val="single" w:sz="4" w:space="0" w:color="auto"/>
              <w:left w:val="single" w:sz="4" w:space="0" w:color="auto"/>
              <w:bottom w:val="nil"/>
              <w:right w:val="single" w:sz="4" w:space="0" w:color="auto"/>
            </w:tcBorders>
            <w:shd w:val="clear" w:color="auto" w:fill="FFFFFF"/>
          </w:tcPr>
          <w:p w:rsidR="00B718EA" w:rsidRPr="00F158C1" w:rsidRDefault="00B718EA" w:rsidP="0085742A">
            <w:pPr>
              <w:spacing w:after="0" w:line="240" w:lineRule="auto"/>
              <w:ind w:left="200"/>
              <w:rPr>
                <w:rFonts w:ascii="Times New Roman" w:eastAsia="Times New Roman" w:hAnsi="Times New Roman" w:cs="Times New Roman"/>
                <w:sz w:val="24"/>
                <w:szCs w:val="24"/>
              </w:rPr>
            </w:pPr>
            <w:r w:rsidRPr="00F158C1">
              <w:rPr>
                <w:rFonts w:ascii="Times New Roman" w:eastAsia="Times New Roman" w:hAnsi="Times New Roman" w:cs="Times New Roman"/>
                <w:b/>
                <w:bCs/>
                <w:sz w:val="34"/>
                <w:szCs w:val="34"/>
              </w:rPr>
              <w:t>Management</w:t>
            </w:r>
          </w:p>
        </w:tc>
      </w:tr>
      <w:tr w:rsidR="00B718EA" w:rsidRPr="00F158C1" w:rsidTr="0085742A">
        <w:trPr>
          <w:trHeight w:val="545"/>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Services levels are known and guaranteed.</w:t>
            </w:r>
          </w:p>
        </w:tc>
      </w:tr>
      <w:tr w:rsidR="00B718EA" w:rsidRPr="00F158C1" w:rsidTr="0085742A">
        <w:trPr>
          <w:trHeight w:val="381"/>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Service provider is accountable.</w:t>
            </w:r>
          </w:p>
        </w:tc>
      </w:tr>
      <w:tr w:rsidR="00B718EA" w:rsidRPr="00F158C1" w:rsidTr="0085742A">
        <w:trPr>
          <w:trHeight w:val="391"/>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Issue of staff shortages resolved.</w:t>
            </w:r>
          </w:p>
        </w:tc>
      </w:tr>
      <w:tr w:rsidR="00B718EA" w:rsidRPr="00F158C1" w:rsidTr="0085742A">
        <w:trPr>
          <w:trHeight w:val="679"/>
        </w:trPr>
        <w:tc>
          <w:tcPr>
            <w:tcW w:w="885" w:type="dxa"/>
            <w:tcBorders>
              <w:top w:val="nil"/>
              <w:left w:val="single" w:sz="4" w:space="0" w:color="auto"/>
              <w:bottom w:val="single" w:sz="4" w:space="0" w:color="auto"/>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30"/>
                <w:szCs w:val="30"/>
              </w:rPr>
              <w:t>•</w:t>
            </w:r>
          </w:p>
        </w:tc>
        <w:tc>
          <w:tcPr>
            <w:tcW w:w="6531" w:type="dxa"/>
            <w:tcBorders>
              <w:top w:val="nil"/>
              <w:left w:val="nil"/>
              <w:bottom w:val="single" w:sz="4" w:space="0" w:color="auto"/>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Performance levels improved.</w:t>
            </w:r>
          </w:p>
        </w:tc>
      </w:tr>
      <w:tr w:rsidR="00B718EA" w:rsidRPr="00F158C1" w:rsidTr="0085742A">
        <w:trPr>
          <w:trHeight w:val="658"/>
        </w:trPr>
        <w:tc>
          <w:tcPr>
            <w:tcW w:w="7416" w:type="dxa"/>
            <w:gridSpan w:val="2"/>
            <w:tcBorders>
              <w:top w:val="single" w:sz="4" w:space="0" w:color="auto"/>
              <w:left w:val="single" w:sz="4" w:space="0" w:color="auto"/>
              <w:bottom w:val="nil"/>
              <w:right w:val="single" w:sz="4" w:space="0" w:color="auto"/>
            </w:tcBorders>
            <w:shd w:val="clear" w:color="auto" w:fill="FFFFFF"/>
          </w:tcPr>
          <w:p w:rsidR="00B718EA" w:rsidRPr="00F158C1" w:rsidRDefault="00B718EA" w:rsidP="0085742A">
            <w:pPr>
              <w:spacing w:after="0" w:line="240" w:lineRule="auto"/>
              <w:ind w:left="200"/>
              <w:rPr>
                <w:rFonts w:ascii="Times New Roman" w:eastAsia="Times New Roman" w:hAnsi="Times New Roman" w:cs="Times New Roman"/>
                <w:sz w:val="24"/>
                <w:szCs w:val="24"/>
              </w:rPr>
            </w:pPr>
            <w:r w:rsidRPr="00F158C1">
              <w:rPr>
                <w:rFonts w:ascii="Times New Roman" w:eastAsia="Times New Roman" w:hAnsi="Times New Roman" w:cs="Times New Roman"/>
                <w:b/>
                <w:bCs/>
                <w:sz w:val="34"/>
                <w:szCs w:val="34"/>
              </w:rPr>
              <w:t>Strategy related</w:t>
            </w:r>
          </w:p>
        </w:tc>
      </w:tr>
      <w:tr w:rsidR="00B718EA" w:rsidRPr="00F158C1" w:rsidTr="0085742A">
        <w:trPr>
          <w:trHeight w:val="576"/>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30"/>
                <w:szCs w:val="30"/>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 xml:space="preserve">Strategic </w:t>
            </w:r>
            <w:r w:rsidR="00F45C58" w:rsidRPr="00F158C1">
              <w:rPr>
                <w:rFonts w:ascii="Times New Roman" w:eastAsia="Times New Roman" w:hAnsi="Times New Roman" w:cs="Times New Roman"/>
                <w:sz w:val="34"/>
                <w:szCs w:val="34"/>
              </w:rPr>
              <w:t>alliances are</w:t>
            </w:r>
            <w:r w:rsidRPr="00F158C1">
              <w:rPr>
                <w:rFonts w:ascii="Times New Roman" w:eastAsia="Times New Roman" w:hAnsi="Times New Roman" w:cs="Times New Roman"/>
                <w:sz w:val="34"/>
                <w:szCs w:val="34"/>
              </w:rPr>
              <w:t xml:space="preserve"> developed.</w:t>
            </w:r>
          </w:p>
        </w:tc>
      </w:tr>
      <w:tr w:rsidR="00B718EA" w:rsidRPr="00F158C1" w:rsidTr="0085742A">
        <w:trPr>
          <w:trHeight w:val="350"/>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30"/>
                <w:szCs w:val="30"/>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Focus on core business.</w:t>
            </w:r>
          </w:p>
        </w:tc>
      </w:tr>
      <w:tr w:rsidR="00B718EA" w:rsidRPr="00F158C1" w:rsidTr="0085742A">
        <w:trPr>
          <w:trHeight w:val="401"/>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28"/>
                <w:szCs w:val="28"/>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Gain from new technologies faster.</w:t>
            </w:r>
          </w:p>
        </w:tc>
      </w:tr>
      <w:tr w:rsidR="00B718EA" w:rsidRPr="00F158C1" w:rsidTr="0085742A">
        <w:trPr>
          <w:trHeight w:val="823"/>
        </w:trPr>
        <w:tc>
          <w:tcPr>
            <w:tcW w:w="885" w:type="dxa"/>
            <w:tcBorders>
              <w:top w:val="nil"/>
              <w:left w:val="single" w:sz="4" w:space="0" w:color="auto"/>
              <w:bottom w:val="nil"/>
              <w:right w:val="nil"/>
            </w:tcBorders>
            <w:shd w:val="clear" w:color="auto" w:fill="FFFFFF"/>
          </w:tcPr>
          <w:p w:rsidR="00B718EA" w:rsidRPr="00F158C1" w:rsidRDefault="00B718EA" w:rsidP="0085742A">
            <w:pPr>
              <w:spacing w:after="0" w:line="240" w:lineRule="auto"/>
              <w:ind w:left="420"/>
              <w:rPr>
                <w:rFonts w:ascii="Times New Roman" w:eastAsia="Times New Roman" w:hAnsi="Times New Roman" w:cs="Times New Roman"/>
                <w:sz w:val="24"/>
                <w:szCs w:val="24"/>
              </w:rPr>
            </w:pPr>
            <w:r w:rsidRPr="00F158C1">
              <w:rPr>
                <w:rFonts w:ascii="Times New Roman" w:eastAsia="Times New Roman" w:hAnsi="Times New Roman" w:cs="Times New Roman"/>
                <w:sz w:val="30"/>
                <w:szCs w:val="30"/>
              </w:rPr>
              <w:t>•</w:t>
            </w:r>
          </w:p>
        </w:tc>
        <w:tc>
          <w:tcPr>
            <w:tcW w:w="6531" w:type="dxa"/>
            <w:tcBorders>
              <w:top w:val="nil"/>
              <w:left w:val="nil"/>
              <w:bottom w:val="nil"/>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24"/>
                <w:szCs w:val="24"/>
              </w:rPr>
            </w:pPr>
            <w:r w:rsidRPr="00F158C1">
              <w:rPr>
                <w:rFonts w:ascii="Times New Roman" w:eastAsia="Times New Roman" w:hAnsi="Times New Roman" w:cs="Times New Roman"/>
                <w:sz w:val="34"/>
                <w:szCs w:val="34"/>
              </w:rPr>
              <w:t>Flexibility for change improved.</w:t>
            </w:r>
          </w:p>
        </w:tc>
      </w:tr>
      <w:tr w:rsidR="00B718EA" w:rsidRPr="00F158C1" w:rsidTr="0085742A">
        <w:trPr>
          <w:trHeight w:val="823"/>
        </w:trPr>
        <w:tc>
          <w:tcPr>
            <w:tcW w:w="885" w:type="dxa"/>
            <w:tcBorders>
              <w:top w:val="nil"/>
              <w:left w:val="single" w:sz="4" w:space="0" w:color="auto"/>
              <w:bottom w:val="single" w:sz="4" w:space="0" w:color="auto"/>
              <w:right w:val="nil"/>
            </w:tcBorders>
            <w:shd w:val="clear" w:color="auto" w:fill="FFFFFF"/>
          </w:tcPr>
          <w:p w:rsidR="00B718EA" w:rsidRPr="00F158C1" w:rsidRDefault="00B718EA" w:rsidP="0085742A">
            <w:pPr>
              <w:spacing w:after="0" w:line="240" w:lineRule="auto"/>
              <w:rPr>
                <w:rFonts w:ascii="Times New Roman" w:eastAsia="Times New Roman" w:hAnsi="Times New Roman" w:cs="Times New Roman"/>
                <w:sz w:val="30"/>
                <w:szCs w:val="30"/>
              </w:rPr>
            </w:pPr>
          </w:p>
        </w:tc>
        <w:tc>
          <w:tcPr>
            <w:tcW w:w="6531" w:type="dxa"/>
            <w:tcBorders>
              <w:top w:val="nil"/>
              <w:left w:val="nil"/>
              <w:bottom w:val="single" w:sz="4" w:space="0" w:color="auto"/>
              <w:right w:val="single" w:sz="4" w:space="0" w:color="auto"/>
            </w:tcBorders>
            <w:shd w:val="clear" w:color="auto" w:fill="FFFFFF"/>
          </w:tcPr>
          <w:p w:rsidR="00B718EA" w:rsidRPr="00F158C1" w:rsidRDefault="00B718EA" w:rsidP="0085742A">
            <w:pPr>
              <w:spacing w:after="0" w:line="240" w:lineRule="auto"/>
              <w:ind w:left="360"/>
              <w:rPr>
                <w:rFonts w:ascii="Times New Roman" w:eastAsia="Times New Roman" w:hAnsi="Times New Roman" w:cs="Times New Roman"/>
                <w:sz w:val="34"/>
                <w:szCs w:val="34"/>
              </w:rPr>
            </w:pPr>
          </w:p>
        </w:tc>
      </w:tr>
    </w:tbl>
    <w:p w:rsidR="00B718EA" w:rsidRDefault="00B718EA" w:rsidP="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p w:rsidR="00B718EA" w:rsidRDefault="00B718EA"/>
    <w:sectPr w:rsidR="00B718EA" w:rsidSect="00C54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6"/>
        <w:szCs w:val="16"/>
      </w:rPr>
    </w:lvl>
    <w:lvl w:ilvl="1" w:tplc="000F4242">
      <w:start w:val="1"/>
      <w:numFmt w:val="bullet"/>
      <w:lvlText w:val="►"/>
      <w:lvlJc w:val="left"/>
      <w:rPr>
        <w:sz w:val="16"/>
        <w:szCs w:val="16"/>
      </w:rPr>
    </w:lvl>
    <w:lvl w:ilvl="2" w:tplc="000F4243">
      <w:start w:val="1"/>
      <w:numFmt w:val="bullet"/>
      <w:lvlText w:val="►"/>
      <w:lvlJc w:val="left"/>
      <w:rPr>
        <w:sz w:val="16"/>
        <w:szCs w:val="16"/>
      </w:rPr>
    </w:lvl>
    <w:lvl w:ilvl="3" w:tplc="000F4244">
      <w:start w:val="1"/>
      <w:numFmt w:val="bullet"/>
      <w:lvlText w:val="►"/>
      <w:lvlJc w:val="left"/>
      <w:rPr>
        <w:sz w:val="16"/>
        <w:szCs w:val="16"/>
      </w:rPr>
    </w:lvl>
    <w:lvl w:ilvl="4" w:tplc="000F4245">
      <w:start w:val="1"/>
      <w:numFmt w:val="bullet"/>
      <w:lvlText w:val="►"/>
      <w:lvlJc w:val="left"/>
      <w:rPr>
        <w:sz w:val="16"/>
        <w:szCs w:val="16"/>
      </w:rPr>
    </w:lvl>
    <w:lvl w:ilvl="5" w:tplc="000F4246">
      <w:start w:val="1"/>
      <w:numFmt w:val="bullet"/>
      <w:lvlText w:val="►"/>
      <w:lvlJc w:val="left"/>
      <w:rPr>
        <w:sz w:val="16"/>
        <w:szCs w:val="16"/>
      </w:rPr>
    </w:lvl>
    <w:lvl w:ilvl="6" w:tplc="000F4247">
      <w:start w:val="1"/>
      <w:numFmt w:val="bullet"/>
      <w:lvlText w:val="►"/>
      <w:lvlJc w:val="left"/>
      <w:rPr>
        <w:sz w:val="16"/>
        <w:szCs w:val="16"/>
      </w:rPr>
    </w:lvl>
    <w:lvl w:ilvl="7" w:tplc="000F4248">
      <w:start w:val="1"/>
      <w:numFmt w:val="bullet"/>
      <w:lvlText w:val="►"/>
      <w:lvlJc w:val="left"/>
      <w:rPr>
        <w:sz w:val="16"/>
        <w:szCs w:val="16"/>
      </w:rPr>
    </w:lvl>
    <w:lvl w:ilvl="8" w:tplc="000F4249">
      <w:start w:val="1"/>
      <w:numFmt w:val="bullet"/>
      <w:lvlText w:val="►"/>
      <w:lvlJc w:val="left"/>
      <w:rPr>
        <w:sz w:val="16"/>
        <w:szCs w:val="16"/>
      </w:rPr>
    </w:lvl>
  </w:abstractNum>
  <w:abstractNum w:abstractNumId="1">
    <w:nsid w:val="00000003"/>
    <w:multiLevelType w:val="hybridMultilevel"/>
    <w:tmpl w:val="00000002"/>
    <w:lvl w:ilvl="0" w:tplc="000F424A">
      <w:start w:val="1"/>
      <w:numFmt w:val="bullet"/>
      <w:lvlText w:val="•"/>
      <w:lvlJc w:val="left"/>
      <w:rPr>
        <w:sz w:val="30"/>
        <w:szCs w:val="30"/>
      </w:rPr>
    </w:lvl>
    <w:lvl w:ilvl="1" w:tplc="000F424B">
      <w:start w:val="1"/>
      <w:numFmt w:val="bullet"/>
      <w:lvlText w:val="•"/>
      <w:lvlJc w:val="left"/>
      <w:rPr>
        <w:sz w:val="30"/>
        <w:szCs w:val="30"/>
      </w:rPr>
    </w:lvl>
    <w:lvl w:ilvl="2" w:tplc="000F424C">
      <w:start w:val="1"/>
      <w:numFmt w:val="bullet"/>
      <w:lvlText w:val="•"/>
      <w:lvlJc w:val="left"/>
      <w:rPr>
        <w:sz w:val="30"/>
        <w:szCs w:val="30"/>
      </w:rPr>
    </w:lvl>
    <w:lvl w:ilvl="3" w:tplc="000F424D">
      <w:start w:val="1"/>
      <w:numFmt w:val="bullet"/>
      <w:lvlText w:val="•"/>
      <w:lvlJc w:val="left"/>
      <w:rPr>
        <w:sz w:val="30"/>
        <w:szCs w:val="30"/>
      </w:rPr>
    </w:lvl>
    <w:lvl w:ilvl="4" w:tplc="000F424E">
      <w:start w:val="1"/>
      <w:numFmt w:val="bullet"/>
      <w:lvlText w:val="•"/>
      <w:lvlJc w:val="left"/>
      <w:rPr>
        <w:sz w:val="30"/>
        <w:szCs w:val="30"/>
      </w:rPr>
    </w:lvl>
    <w:lvl w:ilvl="5" w:tplc="000F424F">
      <w:start w:val="1"/>
      <w:numFmt w:val="bullet"/>
      <w:lvlText w:val="•"/>
      <w:lvlJc w:val="left"/>
      <w:rPr>
        <w:sz w:val="30"/>
        <w:szCs w:val="30"/>
      </w:rPr>
    </w:lvl>
    <w:lvl w:ilvl="6" w:tplc="000F4250">
      <w:start w:val="1"/>
      <w:numFmt w:val="bullet"/>
      <w:lvlText w:val="•"/>
      <w:lvlJc w:val="left"/>
      <w:rPr>
        <w:sz w:val="30"/>
        <w:szCs w:val="30"/>
      </w:rPr>
    </w:lvl>
    <w:lvl w:ilvl="7" w:tplc="000F4251">
      <w:start w:val="1"/>
      <w:numFmt w:val="bullet"/>
      <w:lvlText w:val="•"/>
      <w:lvlJc w:val="left"/>
      <w:rPr>
        <w:sz w:val="30"/>
        <w:szCs w:val="30"/>
      </w:rPr>
    </w:lvl>
    <w:lvl w:ilvl="8" w:tplc="000F4252">
      <w:start w:val="1"/>
      <w:numFmt w:val="bullet"/>
      <w:lvlText w:val="•"/>
      <w:lvlJc w:val="left"/>
      <w:rPr>
        <w:sz w:val="30"/>
        <w:szCs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8EA"/>
    <w:rsid w:val="00293598"/>
    <w:rsid w:val="00366FDB"/>
    <w:rsid w:val="00A60CDD"/>
    <w:rsid w:val="00B25D70"/>
    <w:rsid w:val="00B43B1F"/>
    <w:rsid w:val="00B718EA"/>
    <w:rsid w:val="00C54DA7"/>
    <w:rsid w:val="00F45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A7"/>
  </w:style>
  <w:style w:type="paragraph" w:styleId="Heading1">
    <w:name w:val="heading 1"/>
    <w:basedOn w:val="Normal"/>
    <w:next w:val="Normal"/>
    <w:link w:val="Heading1Char"/>
    <w:uiPriority w:val="9"/>
    <w:qFormat/>
    <w:rsid w:val="00B71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
    <w:basedOn w:val="DefaultParagraphFont"/>
    <w:link w:val="Bodytext71"/>
    <w:uiPriority w:val="99"/>
    <w:rsid w:val="00B718EA"/>
    <w:rPr>
      <w:rFonts w:ascii="Times New Roman" w:hAnsi="Times New Roman" w:cs="Times New Roman"/>
      <w:sz w:val="30"/>
      <w:szCs w:val="30"/>
      <w:shd w:val="clear" w:color="auto" w:fill="FFFFFF"/>
    </w:rPr>
  </w:style>
  <w:style w:type="character" w:customStyle="1" w:styleId="Bodytext9">
    <w:name w:val="Body text (9)"/>
    <w:basedOn w:val="DefaultParagraphFont"/>
    <w:link w:val="Bodytext91"/>
    <w:uiPriority w:val="99"/>
    <w:rsid w:val="00B718EA"/>
    <w:rPr>
      <w:rFonts w:ascii="Times New Roman" w:hAnsi="Times New Roman" w:cs="Times New Roman"/>
      <w:b/>
      <w:bCs/>
      <w:sz w:val="38"/>
      <w:szCs w:val="38"/>
      <w:shd w:val="clear" w:color="auto" w:fill="FFFFFF"/>
    </w:rPr>
  </w:style>
  <w:style w:type="character" w:customStyle="1" w:styleId="Bodytext92">
    <w:name w:val="Body text (9)2"/>
    <w:basedOn w:val="Bodytext9"/>
    <w:uiPriority w:val="99"/>
    <w:rsid w:val="00B718EA"/>
    <w:rPr>
      <w:color w:val="FFFFFF"/>
    </w:rPr>
  </w:style>
  <w:style w:type="paragraph" w:customStyle="1" w:styleId="Bodytext71">
    <w:name w:val="Body text (7)1"/>
    <w:basedOn w:val="Normal"/>
    <w:link w:val="Bodytext7"/>
    <w:uiPriority w:val="99"/>
    <w:rsid w:val="00B718EA"/>
    <w:pPr>
      <w:shd w:val="clear" w:color="auto" w:fill="FFFFFF"/>
      <w:spacing w:after="0" w:line="240" w:lineRule="atLeast"/>
    </w:pPr>
    <w:rPr>
      <w:rFonts w:ascii="Times New Roman" w:hAnsi="Times New Roman" w:cs="Times New Roman"/>
      <w:sz w:val="30"/>
      <w:szCs w:val="30"/>
    </w:rPr>
  </w:style>
  <w:style w:type="paragraph" w:customStyle="1" w:styleId="Bodytext91">
    <w:name w:val="Body text (9)1"/>
    <w:basedOn w:val="Normal"/>
    <w:link w:val="Bodytext9"/>
    <w:uiPriority w:val="99"/>
    <w:rsid w:val="00B718EA"/>
    <w:pPr>
      <w:shd w:val="clear" w:color="auto" w:fill="FFFFFF"/>
      <w:spacing w:after="420" w:line="240" w:lineRule="atLeast"/>
    </w:pPr>
    <w:rPr>
      <w:rFonts w:ascii="Times New Roman" w:hAnsi="Times New Roman" w:cs="Times New Roman"/>
      <w:b/>
      <w:bCs/>
      <w:sz w:val="38"/>
      <w:szCs w:val="38"/>
    </w:rPr>
  </w:style>
  <w:style w:type="paragraph" w:styleId="BalloonText">
    <w:name w:val="Balloon Text"/>
    <w:basedOn w:val="Normal"/>
    <w:link w:val="BalloonTextChar"/>
    <w:uiPriority w:val="99"/>
    <w:semiHidden/>
    <w:unhideWhenUsed/>
    <w:rsid w:val="00B7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EA"/>
    <w:rPr>
      <w:rFonts w:ascii="Tahoma" w:hAnsi="Tahoma" w:cs="Tahoma"/>
      <w:sz w:val="16"/>
      <w:szCs w:val="16"/>
    </w:rPr>
  </w:style>
  <w:style w:type="paragraph" w:styleId="Title">
    <w:name w:val="Title"/>
    <w:basedOn w:val="Normal"/>
    <w:next w:val="Normal"/>
    <w:link w:val="TitleChar"/>
    <w:uiPriority w:val="10"/>
    <w:qFormat/>
    <w:rsid w:val="00B718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18E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18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2011-07-25T11:25:00Z</dcterms:created>
  <dcterms:modified xsi:type="dcterms:W3CDTF">2011-07-25T12:24:00Z</dcterms:modified>
</cp:coreProperties>
</file>