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5B" w:rsidRDefault="003D6C5B" w:rsidP="00F07A16">
      <w:pPr>
        <w:pStyle w:val="Heading1"/>
        <w:rPr>
          <w:rFonts w:eastAsia="Times New Roman"/>
        </w:rPr>
      </w:pPr>
      <w:r>
        <w:rPr>
          <w:rFonts w:eastAsia="Times New Roman"/>
        </w:rPr>
        <w:t xml:space="preserve">Lecture </w:t>
      </w:r>
      <w:r w:rsidR="00F07A16">
        <w:rPr>
          <w:rFonts w:eastAsia="Times New Roman"/>
        </w:rPr>
        <w:t>37</w:t>
      </w:r>
    </w:p>
    <w:p w:rsidR="003D6C5B" w:rsidRPr="005D37A5" w:rsidRDefault="003D6C5B" w:rsidP="00F07A16">
      <w:pPr>
        <w:pStyle w:val="Title"/>
        <w:rPr>
          <w:rFonts w:ascii="Times New Roman" w:eastAsia="Times New Roman" w:hAnsi="Times New Roman"/>
        </w:rPr>
      </w:pPr>
      <w:r w:rsidRPr="005D37A5">
        <w:rPr>
          <w:rFonts w:eastAsia="Times New Roman"/>
        </w:rPr>
        <w:t xml:space="preserve">PRE-QUALIFICATION, QUALIFICATION AND DIS-QUALIFICATION OF SUPPLIERS AND CONTRACTORS </w:t>
      </w:r>
    </w:p>
    <w:p w:rsidR="00F07A16" w:rsidRDefault="00F07A16" w:rsidP="003D6C5B">
      <w:pPr>
        <w:spacing w:before="100" w:beforeAutospacing="1" w:after="100" w:afterAutospacing="1" w:line="240" w:lineRule="auto"/>
        <w:jc w:val="both"/>
        <w:rPr>
          <w:rFonts w:ascii="Book Antiqua" w:eastAsia="Times New Roman" w:hAnsi="Book Antiqua" w:cs="Times New Roman"/>
          <w:b/>
          <w:bCs/>
          <w:sz w:val="24"/>
          <w:szCs w:val="24"/>
        </w:rPr>
      </w:pPr>
      <w:r>
        <w:rPr>
          <w:rFonts w:ascii="Book Antiqua" w:eastAsia="Times New Roman" w:hAnsi="Book Antiqua" w:cs="Times New Roman"/>
          <w:b/>
          <w:bCs/>
          <w:noProof/>
          <w:sz w:val="24"/>
          <w:szCs w:val="24"/>
        </w:rPr>
        <w:drawing>
          <wp:inline distT="0" distB="0" distL="0" distR="0">
            <wp:extent cx="5238750" cy="5238750"/>
            <wp:effectExtent l="19050" t="0" r="0" b="0"/>
            <wp:docPr id="1" name="Picture 0" descr="consumido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midor2.png"/>
                    <pic:cNvPicPr/>
                  </pic:nvPicPr>
                  <pic:blipFill>
                    <a:blip r:embed="rId6"/>
                    <a:stretch>
                      <a:fillRect/>
                    </a:stretch>
                  </pic:blipFill>
                  <pic:spPr>
                    <a:xfrm>
                      <a:off x="0" y="0"/>
                      <a:ext cx="5244066" cy="5241851"/>
                    </a:xfrm>
                    <a:prstGeom prst="rect">
                      <a:avLst/>
                    </a:prstGeom>
                  </pic:spPr>
                </pic:pic>
              </a:graphicData>
            </a:graphic>
          </wp:inline>
        </w:drawing>
      </w:r>
    </w:p>
    <w:p w:rsidR="003D6C5B" w:rsidRPr="005D37A5" w:rsidRDefault="003D6C5B" w:rsidP="00F07A16">
      <w:pPr>
        <w:pStyle w:val="Heading1"/>
        <w:rPr>
          <w:rFonts w:ascii="Times New Roman" w:eastAsia="Times New Roman" w:hAnsi="Times New Roman"/>
        </w:rPr>
      </w:pPr>
      <w:r w:rsidRPr="005D37A5">
        <w:rPr>
          <w:rFonts w:eastAsia="Times New Roman"/>
        </w:rPr>
        <w:lastRenderedPageBreak/>
        <w:t xml:space="preserve">15.       Pre-qualification of suppliers and contractors.-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(1)        A procuring agency, prior to the floating of tenders, invitation to proposals or offers in procurement proceedings, may engage in pre-qualification of bidders in case of services, civil works, turnkey projects and in case of procurement of expensive and technically complex equipment to ensure that only technically and financially capable firms having adequate managerial capability are invited to submit bids. Such pre-qualification shall solely be based upon the ability of the interested parties to perform that particular work satisfactorily.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(2)        A procuring agency while engaging in pre-qualification may take into consideration the following factors, namely:-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(a)        relevant experience and past performance;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(b)        capabilities with respect to personnel, equipment, and plant;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(c)        financial position;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(d)       appropriate managerial capability; and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(e)        any other factor that a procuring agency may deem relevant, not inconsistent with these rules. </w:t>
      </w:r>
    </w:p>
    <w:p w:rsidR="003D6C5B" w:rsidRPr="005D37A5" w:rsidRDefault="003D6C5B" w:rsidP="00F07A16">
      <w:pPr>
        <w:pStyle w:val="Heading1"/>
        <w:rPr>
          <w:rFonts w:ascii="Times New Roman" w:eastAsia="Times New Roman" w:hAnsi="Times New Roman"/>
        </w:rPr>
      </w:pPr>
      <w:r w:rsidRPr="005D37A5">
        <w:rPr>
          <w:rFonts w:eastAsia="Times New Roman"/>
        </w:rPr>
        <w:t xml:space="preserve">16.       Pre-qualification process.-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(1)        The procuring agency engaging in pre-qualification shall announce, in the pre-qualification documents, all information required for pre-qualification including instructions for preparation and submission of the pre-qualification documents, evaluation criteria, list of documentary evidence required by suppliers or contractors to demonstrate their respective qualifications and any other information that the procuring agency deems necessary for pre-qualification.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(2)        The procuring agency shall provide a set of pre-qualification documents to any supplier or contractor, on request and subject to payment of price, if any.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            Explanation.- For the purposes of this sub-rule price means the cost of printing and providing the documents only.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(3)        The procuring agency shall promptly notify each supplier or contractor submitting an application to pre-qualify whether or not it has been pre-qualified and shall make available to any person directly involved in the pre-qualification process, </w:t>
      </w:r>
      <w:r w:rsidRPr="005D37A5">
        <w:rPr>
          <w:rFonts w:ascii="Book Antiqua" w:eastAsia="Times New Roman" w:hAnsi="Book Antiqua" w:cs="Times New Roman"/>
          <w:sz w:val="24"/>
          <w:szCs w:val="24"/>
        </w:rPr>
        <w:lastRenderedPageBreak/>
        <w:t xml:space="preserve">upon request, the names of all suppliers or contractors who have been pre-qualified. Only suppliers or contractors who have been pre-qualified shall be entitled to participate further in the procurement proceedings.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(4)        The procuring agency shall communicate to those suppliers or contractors who have not been pre-qualified the reasons for not pre-qualifying them. </w:t>
      </w:r>
    </w:p>
    <w:p w:rsidR="003D6C5B" w:rsidRPr="005D37A5" w:rsidRDefault="003D6C5B" w:rsidP="00F07A16">
      <w:pPr>
        <w:pStyle w:val="Heading1"/>
        <w:rPr>
          <w:rFonts w:ascii="Times New Roman" w:eastAsia="Times New Roman" w:hAnsi="Times New Roman"/>
        </w:rPr>
      </w:pPr>
      <w:r w:rsidRPr="005D37A5">
        <w:rPr>
          <w:rFonts w:eastAsia="Times New Roman"/>
        </w:rPr>
        <w:t xml:space="preserve">17.       Qualification of suppliers and contractors.- </w:t>
      </w:r>
    </w:p>
    <w:p w:rsidR="003D6C5B" w:rsidRPr="005D37A5" w:rsidRDefault="003D6C5B" w:rsidP="003D6C5B">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A procuring agency, at any stage of the procurement proceedings, having credible reasons for or prima facie evidence of any defect in supplier’s or contractor’s capacities, may require the suppliers or contractors to provide information concerning their professional, technical, financial, legal or managerial competence whether already pre-qualified or not: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            Provided that such qualification shall only be laid down after recording reasons therefor in writing. They shall form part of the records of that procurement proceeding. </w:t>
      </w:r>
    </w:p>
    <w:p w:rsidR="003D6C5B" w:rsidRPr="005D37A5" w:rsidRDefault="003D6C5B" w:rsidP="00F07A16">
      <w:pPr>
        <w:pStyle w:val="Heading1"/>
        <w:rPr>
          <w:rFonts w:ascii="Times New Roman" w:eastAsia="Times New Roman" w:hAnsi="Times New Roman"/>
        </w:rPr>
      </w:pPr>
      <w:r w:rsidRPr="005D37A5">
        <w:rPr>
          <w:rFonts w:eastAsia="Times New Roman"/>
        </w:rPr>
        <w:t xml:space="preserve">18.       Disqualification of suppliers and contractors.- </w:t>
      </w:r>
    </w:p>
    <w:p w:rsidR="003D6C5B" w:rsidRPr="005D37A5" w:rsidRDefault="003D6C5B" w:rsidP="003D6C5B">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The procuring agency shall disqualify a supplier or contractor if it finds, at any time, that the information submitted by him concerning his qualification as supplier or contractor was false and materially inaccurate or incomplete. </w:t>
      </w:r>
    </w:p>
    <w:p w:rsidR="003D6C5B" w:rsidRPr="005D37A5" w:rsidRDefault="003D6C5B" w:rsidP="00F07A16">
      <w:pPr>
        <w:pStyle w:val="Heading1"/>
        <w:rPr>
          <w:rFonts w:ascii="Times New Roman" w:eastAsia="Times New Roman" w:hAnsi="Times New Roman"/>
        </w:rPr>
      </w:pPr>
      <w:r w:rsidRPr="005D37A5">
        <w:rPr>
          <w:rFonts w:eastAsia="Times New Roman"/>
        </w:rPr>
        <w:t xml:space="preserve">19.       Blacklisting of suppliers and contractors.-     </w:t>
      </w:r>
    </w:p>
    <w:p w:rsidR="003D6C5B" w:rsidRPr="005D37A5" w:rsidRDefault="003D6C5B" w:rsidP="003D6C5B">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The procuring agencies shall specify a mechanism and manner to permanently or temporarily bar, from participating in their respective procurement proceedings, suppliers and contractors who either consistently fail to provide satisfactory performances or are found to be indulging in corrupt or fraudulent practices. Such barring action shall be duly publicized and communicated to the Authority:  </w:t>
      </w:r>
      <w:r w:rsidRPr="005D37A5">
        <w:rPr>
          <w:rFonts w:ascii="Times New Roman" w:eastAsia="Times New Roman" w:hAnsi="Times New Roman" w:cs="Times New Roman"/>
          <w:sz w:val="24"/>
          <w:szCs w:val="24"/>
        </w:rPr>
        <w:t xml:space="preserve"> </w:t>
      </w:r>
    </w:p>
    <w:p w:rsidR="003D6C5B" w:rsidRPr="005D37A5" w:rsidRDefault="003D6C5B" w:rsidP="003D6C5B">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Provided that any supplier or contractor who is to be blacklisted shall be accorded adequate opportunity of being heard. </w:t>
      </w:r>
    </w:p>
    <w:p w:rsidR="002A0E41" w:rsidRPr="003D6C5B" w:rsidRDefault="00250E75" w:rsidP="003D6C5B"/>
    <w:sectPr w:rsidR="002A0E41" w:rsidRPr="003D6C5B" w:rsidSect="0037714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E75" w:rsidRDefault="00250E75" w:rsidP="003D6C5B">
      <w:pPr>
        <w:spacing w:after="0" w:line="240" w:lineRule="auto"/>
      </w:pPr>
      <w:r>
        <w:separator/>
      </w:r>
    </w:p>
  </w:endnote>
  <w:endnote w:type="continuationSeparator" w:id="1">
    <w:p w:rsidR="00250E75" w:rsidRDefault="00250E75" w:rsidP="003D6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9869"/>
      <w:docPartObj>
        <w:docPartGallery w:val="Page Numbers (Bottom of Page)"/>
        <w:docPartUnique/>
      </w:docPartObj>
    </w:sdtPr>
    <w:sdtEndPr>
      <w:rPr>
        <w:color w:val="7F7F7F" w:themeColor="background1" w:themeShade="7F"/>
        <w:spacing w:val="60"/>
      </w:rPr>
    </w:sdtEndPr>
    <w:sdtContent>
      <w:p w:rsidR="00F07A16" w:rsidRDefault="00F07A16">
        <w:pPr>
          <w:pStyle w:val="Footer"/>
          <w:pBdr>
            <w:top w:val="single" w:sz="4" w:space="1" w:color="D9D9D9" w:themeColor="background1" w:themeShade="D9"/>
          </w:pBdr>
          <w:rPr>
            <w:b/>
          </w:rPr>
        </w:pPr>
        <w:fldSimple w:instr=" PAGE   \* MERGEFORMAT ">
          <w:r w:rsidRPr="00F07A16">
            <w:rPr>
              <w:b/>
              <w:noProof/>
            </w:rPr>
            <w:t>1</w:t>
          </w:r>
        </w:fldSimple>
        <w:r>
          <w:rPr>
            <w:b/>
          </w:rPr>
          <w:t xml:space="preserve"> | </w:t>
        </w:r>
        <w:r>
          <w:rPr>
            <w:color w:val="7F7F7F" w:themeColor="background1" w:themeShade="7F"/>
            <w:spacing w:val="60"/>
          </w:rPr>
          <w:t>Page</w:t>
        </w:r>
      </w:p>
    </w:sdtContent>
  </w:sdt>
  <w:p w:rsidR="00F07A16" w:rsidRDefault="00F07A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E75" w:rsidRDefault="00250E75" w:rsidP="003D6C5B">
      <w:pPr>
        <w:spacing w:after="0" w:line="240" w:lineRule="auto"/>
      </w:pPr>
      <w:r>
        <w:separator/>
      </w:r>
    </w:p>
  </w:footnote>
  <w:footnote w:type="continuationSeparator" w:id="1">
    <w:p w:rsidR="00250E75" w:rsidRDefault="00250E75" w:rsidP="003D6C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D6C5B"/>
    <w:rsid w:val="001A39EA"/>
    <w:rsid w:val="00250E75"/>
    <w:rsid w:val="00293598"/>
    <w:rsid w:val="0037714C"/>
    <w:rsid w:val="003D6C5B"/>
    <w:rsid w:val="007F390D"/>
    <w:rsid w:val="00B43B1F"/>
    <w:rsid w:val="00F07A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5B"/>
  </w:style>
  <w:style w:type="paragraph" w:styleId="Heading1">
    <w:name w:val="heading 1"/>
    <w:basedOn w:val="Normal"/>
    <w:next w:val="Normal"/>
    <w:link w:val="Heading1Char"/>
    <w:uiPriority w:val="9"/>
    <w:qFormat/>
    <w:rsid w:val="00F07A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6C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6C5B"/>
  </w:style>
  <w:style w:type="paragraph" w:styleId="Footer">
    <w:name w:val="footer"/>
    <w:basedOn w:val="Normal"/>
    <w:link w:val="FooterChar"/>
    <w:uiPriority w:val="99"/>
    <w:unhideWhenUsed/>
    <w:rsid w:val="003D6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C5B"/>
  </w:style>
  <w:style w:type="character" w:customStyle="1" w:styleId="Heading1Char">
    <w:name w:val="Heading 1 Char"/>
    <w:basedOn w:val="DefaultParagraphFont"/>
    <w:link w:val="Heading1"/>
    <w:uiPriority w:val="9"/>
    <w:rsid w:val="00F07A1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07A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7A1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07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A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2011-08-04T05:28:00Z</dcterms:created>
  <dcterms:modified xsi:type="dcterms:W3CDTF">2011-08-04T05:28:00Z</dcterms:modified>
</cp:coreProperties>
</file>