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E5" w:rsidRDefault="00EA07E5" w:rsidP="00EA07E5">
      <w:pPr>
        <w:pStyle w:val="Heading1"/>
      </w:pPr>
      <w:r>
        <w:t>Lecture 20</w:t>
      </w:r>
    </w:p>
    <w:p w:rsidR="00EA07E5" w:rsidRPr="00EA07E5" w:rsidRDefault="00EA07E5" w:rsidP="00EA07E5">
      <w:pPr>
        <w:pStyle w:val="Title"/>
        <w:rPr>
          <w:sz w:val="36"/>
          <w:szCs w:val="36"/>
        </w:rPr>
      </w:pPr>
      <w:r w:rsidRPr="00EA07E5">
        <w:rPr>
          <w:sz w:val="36"/>
          <w:szCs w:val="36"/>
        </w:rPr>
        <w:t>PRE-QUALIFICATION, QUALIFICATION &amp;</w:t>
      </w:r>
    </w:p>
    <w:p w:rsidR="00EA07E5" w:rsidRPr="00EA07E5" w:rsidRDefault="00EA07E5" w:rsidP="00EA07E5">
      <w:pPr>
        <w:pStyle w:val="Title"/>
        <w:rPr>
          <w:sz w:val="36"/>
          <w:szCs w:val="36"/>
        </w:rPr>
      </w:pPr>
      <w:r w:rsidRPr="00EA07E5">
        <w:rPr>
          <w:sz w:val="36"/>
          <w:szCs w:val="36"/>
        </w:rPr>
        <w:t xml:space="preserve">DIS-QUALIFICATION OF SUPPLIERS AND CONTRACTORS </w:t>
      </w:r>
    </w:p>
    <w:p w:rsidR="00EA07E5" w:rsidRDefault="00AD7FEA" w:rsidP="00EA07E5">
      <w:pPr>
        <w:pStyle w:val="Heading1"/>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191443" cy="3094074"/>
            <wp:effectExtent l="19050" t="0" r="0" b="0"/>
            <wp:wrapSquare wrapText="bothSides"/>
            <wp:docPr id="1" name="Picture 0" descr="0,,2474580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474580_4,00.jpg"/>
                    <pic:cNvPicPr/>
                  </pic:nvPicPr>
                  <pic:blipFill>
                    <a:blip r:embed="rId6"/>
                    <a:stretch>
                      <a:fillRect/>
                    </a:stretch>
                  </pic:blipFill>
                  <pic:spPr>
                    <a:xfrm>
                      <a:off x="0" y="0"/>
                      <a:ext cx="4191443" cy="3094074"/>
                    </a:xfrm>
                    <a:prstGeom prst="rect">
                      <a:avLst/>
                    </a:prstGeom>
                  </pic:spPr>
                </pic:pic>
              </a:graphicData>
            </a:graphic>
          </wp:anchor>
        </w:drawing>
      </w:r>
      <w:r>
        <w:br w:type="textWrapping" w:clear="all"/>
      </w:r>
    </w:p>
    <w:p w:rsidR="00EA07E5" w:rsidRPr="00177FC3" w:rsidRDefault="00EA07E5" w:rsidP="00EA07E5">
      <w:pPr>
        <w:pStyle w:val="Heading1"/>
      </w:pPr>
      <w:r>
        <w:t>PPRA Rules</w:t>
      </w:r>
    </w:p>
    <w:p w:rsidR="00EA07E5" w:rsidRPr="00B3648C" w:rsidRDefault="00EA07E5" w:rsidP="00EA07E5">
      <w:pPr>
        <w:pStyle w:val="Heading1"/>
      </w:pPr>
      <w:r w:rsidRPr="00B3648C">
        <w:t xml:space="preserve">15.       Pre-qualification of suppliers and contractors.-  </w:t>
      </w:r>
    </w:p>
    <w:p w:rsidR="00EA07E5" w:rsidRPr="00B3648C" w:rsidRDefault="00EA07E5" w:rsidP="00EA07E5">
      <w:pPr>
        <w:pStyle w:val="NormalWeb"/>
        <w:jc w:val="both"/>
        <w:rPr>
          <w:sz w:val="28"/>
          <w:szCs w:val="28"/>
        </w:rPr>
      </w:pPr>
      <w:r w:rsidRPr="00B3648C">
        <w:rPr>
          <w:rFonts w:ascii="Book Antiqua" w:hAnsi="Book Antiqua"/>
          <w:sz w:val="28"/>
          <w:szCs w:val="28"/>
        </w:rPr>
        <w:t xml:space="preserve">(1)        A procuring agency, prior to the floating of tenders, invitation to proposals or offers in procurement proceedings, may engage in pre-qualification of bidders in case of services, civil works, turnkey projects and in case of procurement of expensive and technically complex equipment to ensure that only technically and financially capable firms having adequate managerial capability are invited to submit bids. Such pre-qualification shall solely be based upon the ability of the interested parties to perform that particular work satisfactorily. </w:t>
      </w:r>
    </w:p>
    <w:p w:rsidR="00EA07E5" w:rsidRPr="00B3648C" w:rsidRDefault="00EA07E5" w:rsidP="00EA07E5">
      <w:pPr>
        <w:pStyle w:val="NormalWeb"/>
        <w:jc w:val="both"/>
        <w:rPr>
          <w:sz w:val="28"/>
          <w:szCs w:val="28"/>
        </w:rPr>
      </w:pPr>
      <w:r w:rsidRPr="00B3648C">
        <w:rPr>
          <w:rFonts w:ascii="Book Antiqua" w:hAnsi="Book Antiqua"/>
          <w:sz w:val="28"/>
          <w:szCs w:val="28"/>
        </w:rPr>
        <w:lastRenderedPageBreak/>
        <w:t xml:space="preserve">(2)        A procuring agency while engaging in pre-qualification may take into consideration the following factors, namely:- </w:t>
      </w:r>
    </w:p>
    <w:p w:rsidR="00EA07E5" w:rsidRPr="00B3648C" w:rsidRDefault="00EA07E5" w:rsidP="00EA07E5">
      <w:pPr>
        <w:pStyle w:val="NormalWeb"/>
        <w:jc w:val="both"/>
        <w:rPr>
          <w:sz w:val="28"/>
          <w:szCs w:val="28"/>
        </w:rPr>
      </w:pPr>
      <w:r w:rsidRPr="00B3648C">
        <w:rPr>
          <w:rFonts w:ascii="Book Antiqua" w:hAnsi="Book Antiqua"/>
          <w:sz w:val="28"/>
          <w:szCs w:val="28"/>
        </w:rPr>
        <w:t xml:space="preserve">(a)        relevant experience and past performance; </w:t>
      </w:r>
    </w:p>
    <w:p w:rsidR="00EA07E5" w:rsidRPr="00B3648C" w:rsidRDefault="00EA07E5" w:rsidP="00EA07E5">
      <w:pPr>
        <w:pStyle w:val="NormalWeb"/>
        <w:jc w:val="both"/>
        <w:rPr>
          <w:sz w:val="28"/>
          <w:szCs w:val="28"/>
        </w:rPr>
      </w:pPr>
      <w:r w:rsidRPr="00B3648C">
        <w:rPr>
          <w:rFonts w:ascii="Book Antiqua" w:hAnsi="Book Antiqua"/>
          <w:sz w:val="28"/>
          <w:szCs w:val="28"/>
        </w:rPr>
        <w:t xml:space="preserve">(b)        capabilities with respect to personnel, equipment, and plant; </w:t>
      </w:r>
    </w:p>
    <w:p w:rsidR="00EA07E5" w:rsidRPr="00B3648C" w:rsidRDefault="00EA07E5" w:rsidP="00EA07E5">
      <w:pPr>
        <w:pStyle w:val="NormalWeb"/>
        <w:jc w:val="both"/>
        <w:rPr>
          <w:sz w:val="28"/>
          <w:szCs w:val="28"/>
        </w:rPr>
      </w:pPr>
      <w:r w:rsidRPr="00B3648C">
        <w:rPr>
          <w:rFonts w:ascii="Book Antiqua" w:hAnsi="Book Antiqua"/>
          <w:sz w:val="28"/>
          <w:szCs w:val="28"/>
        </w:rPr>
        <w:t xml:space="preserve">(c)        financial position; </w:t>
      </w:r>
    </w:p>
    <w:p w:rsidR="00EA07E5" w:rsidRPr="00B3648C" w:rsidRDefault="00EA07E5" w:rsidP="00EA07E5">
      <w:pPr>
        <w:pStyle w:val="NormalWeb"/>
        <w:jc w:val="both"/>
        <w:rPr>
          <w:sz w:val="28"/>
          <w:szCs w:val="28"/>
        </w:rPr>
      </w:pPr>
      <w:r w:rsidRPr="00B3648C">
        <w:rPr>
          <w:rFonts w:ascii="Book Antiqua" w:hAnsi="Book Antiqua"/>
          <w:sz w:val="28"/>
          <w:szCs w:val="28"/>
        </w:rPr>
        <w:t xml:space="preserve">(d)       appropriate managerial capability; and </w:t>
      </w:r>
    </w:p>
    <w:p w:rsidR="00EA07E5" w:rsidRPr="00B3648C" w:rsidRDefault="00EA07E5" w:rsidP="00EA07E5">
      <w:pPr>
        <w:pStyle w:val="NormalWeb"/>
        <w:jc w:val="both"/>
        <w:rPr>
          <w:sz w:val="28"/>
          <w:szCs w:val="28"/>
        </w:rPr>
      </w:pPr>
      <w:r w:rsidRPr="00B3648C">
        <w:rPr>
          <w:rFonts w:ascii="Book Antiqua" w:hAnsi="Book Antiqua"/>
          <w:sz w:val="28"/>
          <w:szCs w:val="28"/>
        </w:rPr>
        <w:t xml:space="preserve">(e)        any other factor that a procuring agency may deem relevant, not inconsistent with these rules. </w:t>
      </w:r>
    </w:p>
    <w:p w:rsidR="00EA07E5" w:rsidRPr="00B3648C" w:rsidRDefault="00EA07E5" w:rsidP="00EA07E5">
      <w:pPr>
        <w:pStyle w:val="Heading1"/>
      </w:pPr>
      <w:r w:rsidRPr="00B3648C">
        <w:t xml:space="preserve">16.       Pre-qualification process.-  </w:t>
      </w:r>
    </w:p>
    <w:p w:rsidR="00EA07E5" w:rsidRPr="00B3648C" w:rsidRDefault="00EA07E5" w:rsidP="00EA07E5">
      <w:pPr>
        <w:pStyle w:val="NormalWeb"/>
        <w:jc w:val="both"/>
        <w:rPr>
          <w:sz w:val="28"/>
          <w:szCs w:val="28"/>
        </w:rPr>
      </w:pPr>
      <w:r w:rsidRPr="00B3648C">
        <w:rPr>
          <w:rFonts w:ascii="Book Antiqua" w:hAnsi="Book Antiqua"/>
          <w:sz w:val="28"/>
          <w:szCs w:val="28"/>
        </w:rPr>
        <w:t xml:space="preserve">(1)        The procuring agency engaging in pre-qualification shall announce, in the pre-qualification documents, all information required for pre-qualification including instructions for preparation and submission of the pre-qualification documents, evaluation criteria, list of documentary evidence required by suppliers or contractors to demonstrate their respective qualifications and any other information that the procuring agency deems necessary for pre-qualification. </w:t>
      </w:r>
    </w:p>
    <w:p w:rsidR="00EA07E5" w:rsidRPr="00B3648C" w:rsidRDefault="00EA07E5" w:rsidP="00EA07E5">
      <w:pPr>
        <w:pStyle w:val="NormalWeb"/>
        <w:jc w:val="both"/>
        <w:rPr>
          <w:sz w:val="28"/>
          <w:szCs w:val="28"/>
        </w:rPr>
      </w:pPr>
      <w:r w:rsidRPr="00B3648C">
        <w:rPr>
          <w:rFonts w:ascii="Book Antiqua" w:hAnsi="Book Antiqua"/>
          <w:sz w:val="28"/>
          <w:szCs w:val="28"/>
        </w:rPr>
        <w:t xml:space="preserve">(2)        The procuring agency shall provide a set of pre-qualification documents to any supplier or contractor, on request and subject to payment of price, if any. </w:t>
      </w:r>
    </w:p>
    <w:p w:rsidR="00EA07E5" w:rsidRPr="00B3648C" w:rsidRDefault="00EA07E5" w:rsidP="00EA07E5">
      <w:pPr>
        <w:pStyle w:val="NormalWeb"/>
        <w:jc w:val="both"/>
        <w:rPr>
          <w:sz w:val="28"/>
          <w:szCs w:val="28"/>
        </w:rPr>
      </w:pPr>
      <w:r w:rsidRPr="00B3648C">
        <w:rPr>
          <w:rFonts w:ascii="Book Antiqua" w:hAnsi="Book Antiqua"/>
          <w:sz w:val="28"/>
          <w:szCs w:val="28"/>
        </w:rPr>
        <w:t xml:space="preserve">            Explanation.- For the purposes of this sub-rule price means the cost of printing and providing the documents only. </w:t>
      </w:r>
    </w:p>
    <w:p w:rsidR="00EA07E5" w:rsidRPr="00B3648C" w:rsidRDefault="00EA07E5" w:rsidP="00EA07E5">
      <w:pPr>
        <w:pStyle w:val="NormalWeb"/>
        <w:jc w:val="both"/>
        <w:rPr>
          <w:sz w:val="28"/>
          <w:szCs w:val="28"/>
        </w:rPr>
      </w:pPr>
      <w:r w:rsidRPr="00B3648C">
        <w:rPr>
          <w:rFonts w:ascii="Book Antiqua" w:hAnsi="Book Antiqua"/>
          <w:sz w:val="28"/>
          <w:szCs w:val="28"/>
        </w:rPr>
        <w:t xml:space="preserve">(3)        The procuring agency shall promptly notify each supplier or contractor submitting an application to pre-qualify whether or not it has been pre-qualified and shall make available to any person directly involved in the pre-qualification process, upon request, the names of all suppliers or contractors who have been pre-qualified. Only suppliers or contractors who have been pre-qualified shall be entitled to participate further in the procurement proceedings. </w:t>
      </w:r>
    </w:p>
    <w:p w:rsidR="00EA07E5" w:rsidRPr="00B3648C" w:rsidRDefault="00EA07E5" w:rsidP="00EA07E5">
      <w:pPr>
        <w:pStyle w:val="NormalWeb"/>
        <w:jc w:val="both"/>
        <w:rPr>
          <w:sz w:val="28"/>
          <w:szCs w:val="28"/>
        </w:rPr>
      </w:pPr>
      <w:r w:rsidRPr="00B3648C">
        <w:rPr>
          <w:rFonts w:ascii="Book Antiqua" w:hAnsi="Book Antiqua"/>
          <w:sz w:val="28"/>
          <w:szCs w:val="28"/>
        </w:rPr>
        <w:lastRenderedPageBreak/>
        <w:t xml:space="preserve">(4)        The procuring agency shall communicate to those suppliers or contractors who have not been pre-qualified the reasons for not pre-qualifying them. </w:t>
      </w:r>
    </w:p>
    <w:p w:rsidR="00EA07E5" w:rsidRPr="00B3648C" w:rsidRDefault="00EA07E5" w:rsidP="00EA07E5">
      <w:pPr>
        <w:pStyle w:val="Heading1"/>
      </w:pPr>
      <w:r w:rsidRPr="00B3648C">
        <w:t xml:space="preserve">17.       Qualification of suppliers and contractors.- </w:t>
      </w:r>
    </w:p>
    <w:p w:rsidR="00EA07E5" w:rsidRPr="00B3648C" w:rsidRDefault="00EA07E5" w:rsidP="00EA07E5">
      <w:pPr>
        <w:pStyle w:val="NormalWeb"/>
        <w:ind w:firstLine="720"/>
        <w:jc w:val="both"/>
        <w:rPr>
          <w:sz w:val="28"/>
          <w:szCs w:val="28"/>
        </w:rPr>
      </w:pPr>
      <w:r w:rsidRPr="00B3648C">
        <w:rPr>
          <w:rFonts w:ascii="Book Antiqua" w:hAnsi="Book Antiqua"/>
          <w:sz w:val="28"/>
          <w:szCs w:val="28"/>
        </w:rPr>
        <w:t xml:space="preserve">A procuring agency, at any stage of the procurement proceedings, having credible reasons for or prima facie evidence of any defect in supplier’s or contractor’s capacities, may require the suppliers or contractors to provide information concerning their professional, technical, financial, legal or managerial competence whether already pre-qualified or not: </w:t>
      </w:r>
    </w:p>
    <w:p w:rsidR="00EA07E5" w:rsidRPr="00B3648C" w:rsidRDefault="00EA07E5" w:rsidP="00EA07E5">
      <w:pPr>
        <w:pStyle w:val="NormalWeb"/>
        <w:jc w:val="both"/>
        <w:rPr>
          <w:sz w:val="28"/>
          <w:szCs w:val="28"/>
        </w:rPr>
      </w:pPr>
      <w:r w:rsidRPr="00B3648C">
        <w:rPr>
          <w:rFonts w:ascii="Book Antiqua" w:hAnsi="Book Antiqua"/>
          <w:sz w:val="28"/>
          <w:szCs w:val="28"/>
        </w:rPr>
        <w:t xml:space="preserve">            Provided that such qualification shall only be laid down after recording reasons therefore in writing. They shall form part of the records of that procurement proceeding. </w:t>
      </w:r>
    </w:p>
    <w:p w:rsidR="00EA07E5" w:rsidRPr="00B3648C" w:rsidRDefault="00EA07E5" w:rsidP="00EA07E5">
      <w:pPr>
        <w:pStyle w:val="Heading1"/>
      </w:pPr>
      <w:r w:rsidRPr="00B3648C">
        <w:t xml:space="preserve">18.       Disqualification of suppliers and contractors.- </w:t>
      </w:r>
    </w:p>
    <w:p w:rsidR="00EA07E5" w:rsidRPr="00B3648C" w:rsidRDefault="00EA07E5" w:rsidP="00EA07E5">
      <w:pPr>
        <w:pStyle w:val="NormalWeb"/>
        <w:ind w:firstLine="720"/>
        <w:jc w:val="both"/>
        <w:rPr>
          <w:sz w:val="28"/>
          <w:szCs w:val="28"/>
        </w:rPr>
      </w:pPr>
      <w:r w:rsidRPr="00B3648C">
        <w:rPr>
          <w:rFonts w:ascii="Book Antiqua" w:hAnsi="Book Antiqua"/>
          <w:sz w:val="28"/>
          <w:szCs w:val="28"/>
        </w:rPr>
        <w:t xml:space="preserve">The procuring agency shall disqualify a supplier or contractor if it finds, at any time, that the information submitted by him concerning his qualification as supplier or contractor was false and materially inaccurate or incomplete. </w:t>
      </w:r>
    </w:p>
    <w:p w:rsidR="00EA07E5" w:rsidRPr="00B3648C" w:rsidRDefault="00EA07E5" w:rsidP="00EA07E5">
      <w:pPr>
        <w:pStyle w:val="Heading1"/>
      </w:pPr>
      <w:r w:rsidRPr="00B3648C">
        <w:t xml:space="preserve">19.       Blacklisting of suppliers and contractors.-     </w:t>
      </w:r>
    </w:p>
    <w:p w:rsidR="00EA07E5" w:rsidRPr="00B3648C" w:rsidRDefault="00EA07E5" w:rsidP="00EA07E5">
      <w:pPr>
        <w:pStyle w:val="NormalWeb"/>
        <w:ind w:firstLine="720"/>
        <w:jc w:val="both"/>
        <w:rPr>
          <w:sz w:val="28"/>
          <w:szCs w:val="28"/>
        </w:rPr>
      </w:pPr>
      <w:r w:rsidRPr="00B3648C">
        <w:rPr>
          <w:rFonts w:ascii="Book Antiqua" w:hAnsi="Book Antiqua"/>
          <w:sz w:val="28"/>
          <w:szCs w:val="28"/>
        </w:rPr>
        <w:t>The procuring agencies shall specify a mechanism and manner to permanently or temporarily bar, from participating in their respective procurement proceedings, suppliers and contractors who either consistently fail to provide satisfactory performances or are found to be indulging in corrupt or fraudulent practices. Such barring action shall be duly publicized and communicated to the Authority:  </w:t>
      </w:r>
      <w:r w:rsidRPr="00B3648C">
        <w:rPr>
          <w:sz w:val="28"/>
          <w:szCs w:val="28"/>
        </w:rPr>
        <w:t xml:space="preserve"> </w:t>
      </w:r>
    </w:p>
    <w:p w:rsidR="00EA07E5" w:rsidRPr="00B3648C" w:rsidRDefault="00EA07E5" w:rsidP="00EA07E5">
      <w:pPr>
        <w:pStyle w:val="NormalWeb"/>
        <w:ind w:firstLine="720"/>
        <w:jc w:val="both"/>
        <w:rPr>
          <w:sz w:val="28"/>
          <w:szCs w:val="28"/>
        </w:rPr>
      </w:pPr>
      <w:r w:rsidRPr="00B3648C">
        <w:rPr>
          <w:rFonts w:ascii="Book Antiqua" w:hAnsi="Book Antiqua"/>
          <w:sz w:val="28"/>
          <w:szCs w:val="28"/>
        </w:rPr>
        <w:t xml:space="preserve">Provided that any supplier or contractor who is to be blacklisted shall be accorded adequate opportunity of being heard. </w:t>
      </w:r>
    </w:p>
    <w:p w:rsidR="002A0E41" w:rsidRPr="00EA07E5" w:rsidRDefault="00B8778F" w:rsidP="00EA07E5">
      <w:pPr>
        <w:ind w:firstLine="720"/>
      </w:pPr>
    </w:p>
    <w:sectPr w:rsidR="002A0E41" w:rsidRPr="00EA07E5" w:rsidSect="00CA59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78F" w:rsidRDefault="00B8778F" w:rsidP="00EA07E5">
      <w:pPr>
        <w:spacing w:after="0" w:line="240" w:lineRule="auto"/>
      </w:pPr>
      <w:r>
        <w:separator/>
      </w:r>
    </w:p>
  </w:endnote>
  <w:endnote w:type="continuationSeparator" w:id="1">
    <w:p w:rsidR="00B8778F" w:rsidRDefault="00B8778F" w:rsidP="00EA0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78F" w:rsidRDefault="00B8778F" w:rsidP="00EA07E5">
      <w:pPr>
        <w:spacing w:after="0" w:line="240" w:lineRule="auto"/>
      </w:pPr>
      <w:r>
        <w:separator/>
      </w:r>
    </w:p>
  </w:footnote>
  <w:footnote w:type="continuationSeparator" w:id="1">
    <w:p w:rsidR="00B8778F" w:rsidRDefault="00B8778F" w:rsidP="00EA07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A07E5"/>
    <w:rsid w:val="00293598"/>
    <w:rsid w:val="00AD7FEA"/>
    <w:rsid w:val="00B43B1F"/>
    <w:rsid w:val="00B8778F"/>
    <w:rsid w:val="00CA597D"/>
    <w:rsid w:val="00EA0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97D"/>
  </w:style>
  <w:style w:type="paragraph" w:styleId="Heading1">
    <w:name w:val="heading 1"/>
    <w:basedOn w:val="Normal"/>
    <w:next w:val="Normal"/>
    <w:link w:val="Heading1Char"/>
    <w:uiPriority w:val="9"/>
    <w:qFormat/>
    <w:rsid w:val="00EA07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7E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A07E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A07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07E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EA0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07E5"/>
  </w:style>
  <w:style w:type="paragraph" w:styleId="Footer">
    <w:name w:val="footer"/>
    <w:basedOn w:val="Normal"/>
    <w:link w:val="FooterChar"/>
    <w:uiPriority w:val="99"/>
    <w:semiHidden/>
    <w:unhideWhenUsed/>
    <w:rsid w:val="00EA07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07E5"/>
  </w:style>
  <w:style w:type="paragraph" w:styleId="BalloonText">
    <w:name w:val="Balloon Text"/>
    <w:basedOn w:val="Normal"/>
    <w:link w:val="BalloonTextChar"/>
    <w:uiPriority w:val="99"/>
    <w:semiHidden/>
    <w:unhideWhenUsed/>
    <w:rsid w:val="00AD7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2011-08-03T09:49:00Z</dcterms:created>
  <dcterms:modified xsi:type="dcterms:W3CDTF">2011-08-03T09:55:00Z</dcterms:modified>
</cp:coreProperties>
</file>