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97" w:rsidRPr="006B3597" w:rsidRDefault="006B3597" w:rsidP="006B3597">
      <w:pPr>
        <w:pStyle w:val="Heading1"/>
      </w:pPr>
      <w:r w:rsidRPr="006B3597">
        <w:t>Lecture 1</w:t>
      </w:r>
      <w:r w:rsidR="000524CF">
        <w:t>7</w:t>
      </w:r>
    </w:p>
    <w:p w:rsidR="006B3597" w:rsidRPr="006B3597" w:rsidRDefault="006B3597" w:rsidP="006B3597">
      <w:pPr>
        <w:pStyle w:val="Title"/>
      </w:pPr>
      <w:r w:rsidRPr="006B3597">
        <w:t>How are Tenders evaluated?</w:t>
      </w:r>
    </w:p>
    <w:p w:rsidR="006B3597" w:rsidRDefault="006B3597" w:rsidP="006B3597">
      <w:pPr>
        <w:pStyle w:val="Heading1"/>
        <w:rPr>
          <w:color w:val="auto"/>
        </w:rPr>
      </w:pPr>
      <w:r>
        <w:rPr>
          <w:noProof/>
          <w:color w:val="auto"/>
        </w:rPr>
        <w:drawing>
          <wp:inline distT="0" distB="0" distL="0" distR="0">
            <wp:extent cx="5305425" cy="3713799"/>
            <wp:effectExtent l="19050" t="0" r="9525" b="0"/>
            <wp:docPr id="1" name="Picture 0"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7"/>
                    <a:stretch>
                      <a:fillRect/>
                    </a:stretch>
                  </pic:blipFill>
                  <pic:spPr>
                    <a:xfrm>
                      <a:off x="0" y="0"/>
                      <a:ext cx="5305425" cy="3713799"/>
                    </a:xfrm>
                    <a:prstGeom prst="rect">
                      <a:avLst/>
                    </a:prstGeom>
                  </pic:spPr>
                </pic:pic>
              </a:graphicData>
            </a:graphic>
          </wp:inline>
        </w:drawing>
      </w:r>
    </w:p>
    <w:p w:rsidR="006B3597" w:rsidRPr="006B3597" w:rsidRDefault="006B3597" w:rsidP="006B3597">
      <w:pPr>
        <w:shd w:val="clear" w:color="auto" w:fill="FFFFFF"/>
        <w:spacing w:before="180" w:after="180" w:line="240" w:lineRule="auto"/>
        <w:rPr>
          <w:rFonts w:ascii="Times New Roman" w:eastAsia="Times New Roman" w:hAnsi="Times New Roman" w:cs="Times New Roman"/>
          <w:b/>
          <w:bCs/>
          <w:sz w:val="28"/>
          <w:szCs w:val="28"/>
        </w:rPr>
      </w:pPr>
    </w:p>
    <w:p w:rsidR="006B3597" w:rsidRPr="006B3597" w:rsidRDefault="006B3597" w:rsidP="006B3597">
      <w:pPr>
        <w:shd w:val="clear" w:color="auto" w:fill="FFFFFF"/>
        <w:spacing w:before="180" w:after="180" w:line="240" w:lineRule="auto"/>
        <w:rPr>
          <w:rFonts w:ascii="Times New Roman" w:eastAsia="Times New Roman" w:hAnsi="Times New Roman" w:cs="Times New Roman"/>
          <w:b/>
          <w:bCs/>
          <w:sz w:val="28"/>
          <w:szCs w:val="28"/>
        </w:rPr>
      </w:pPr>
    </w:p>
    <w:p w:rsidR="006B3597" w:rsidRPr="006B3597" w:rsidRDefault="006B3597" w:rsidP="00EB5F46">
      <w:pPr>
        <w:pStyle w:val="Title"/>
        <w:rPr>
          <w:rFonts w:eastAsia="Times New Roman"/>
        </w:rPr>
      </w:pPr>
      <w:r w:rsidRPr="006B3597">
        <w:rPr>
          <w:rFonts w:eastAsia="Times New Roman"/>
        </w:rPr>
        <w:t>Procurement Principles</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Some tenderers still believe that Government buyers use only price as the criterion in selecting suppliers. This is not true.</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The Government Departments evaluate the tenders according to some procurement principles, which are:</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Open and effective competition;</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Value for money;</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lastRenderedPageBreak/>
        <w:t>Enhancing the capabilities of local business and industry;</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Environmental protection;</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Ethical behavior and fair dealing.</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 xml:space="preserve">Sometimes social, personal and environmental objectives are emphasized. Value for money is generally the essential test and not the purchasing price alone. Quality and service may be equally important, </w:t>
      </w:r>
      <w:r w:rsidRPr="006B3597">
        <w:rPr>
          <w:rFonts w:ascii="Times New Roman" w:eastAsia="Times New Roman" w:hAnsi="Times New Roman" w:cs="Times New Roman"/>
          <w:sz w:val="28"/>
          <w:szCs w:val="28"/>
        </w:rPr>
        <w:t>to meet user requirements. Evaluation to achieve best value for money is include, but is not limited. The check list for evaluation of tenders is given below:</w:t>
      </w:r>
    </w:p>
    <w:p w:rsidR="006B3597" w:rsidRPr="006B3597" w:rsidRDefault="006B3597" w:rsidP="00EB5F46">
      <w:pPr>
        <w:pStyle w:val="Heading1"/>
        <w:rPr>
          <w:rFonts w:eastAsia="Times New Roman"/>
        </w:rPr>
      </w:pPr>
      <w:r w:rsidRPr="006B3597">
        <w:rPr>
          <w:rFonts w:eastAsia="Times New Roman"/>
        </w:rPr>
        <w:t>Past Performance</w:t>
      </w:r>
    </w:p>
    <w:p w:rsidR="006B3597" w:rsidRPr="006B3597" w:rsidRDefault="006B3597" w:rsidP="006B3597">
      <w:pPr>
        <w:numPr>
          <w:ilvl w:val="0"/>
          <w:numId w:val="1"/>
        </w:numPr>
        <w:shd w:val="clear" w:color="auto" w:fill="FFFFFF"/>
        <w:tabs>
          <w:tab w:val="left" w:pos="150"/>
        </w:tabs>
        <w:spacing w:after="0" w:line="391"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Standard of work</w:t>
      </w:r>
    </w:p>
    <w:p w:rsidR="006B3597" w:rsidRPr="006B3597" w:rsidRDefault="006B3597" w:rsidP="006B3597">
      <w:pPr>
        <w:numPr>
          <w:ilvl w:val="0"/>
          <w:numId w:val="1"/>
        </w:numPr>
        <w:shd w:val="clear" w:color="auto" w:fill="FFFFFF"/>
        <w:tabs>
          <w:tab w:val="left" w:pos="150"/>
        </w:tabs>
        <w:spacing w:after="0" w:line="391"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Previous disputes/claims</w:t>
      </w:r>
    </w:p>
    <w:p w:rsidR="006B3597" w:rsidRPr="006B3597" w:rsidRDefault="006B3597" w:rsidP="006B3597">
      <w:pPr>
        <w:numPr>
          <w:ilvl w:val="0"/>
          <w:numId w:val="1"/>
        </w:numPr>
        <w:shd w:val="clear" w:color="auto" w:fill="FFFFFF"/>
        <w:tabs>
          <w:tab w:val="left" w:pos="143"/>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Degree of necessary supervision of the contractor</w:t>
      </w:r>
    </w:p>
    <w:p w:rsidR="006B3597" w:rsidRPr="006B3597" w:rsidRDefault="006B3597" w:rsidP="006B3597">
      <w:pPr>
        <w:numPr>
          <w:ilvl w:val="0"/>
          <w:numId w:val="1"/>
        </w:numPr>
        <w:shd w:val="clear" w:color="auto" w:fill="FFFFFF"/>
        <w:tabs>
          <w:tab w:val="left" w:pos="143"/>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Managerial/technical expertise</w:t>
      </w:r>
    </w:p>
    <w:p w:rsidR="006B3597" w:rsidRPr="006B3597" w:rsidRDefault="006B3597" w:rsidP="006B3597">
      <w:pPr>
        <w:numPr>
          <w:ilvl w:val="0"/>
          <w:numId w:val="1"/>
        </w:numPr>
        <w:shd w:val="clear" w:color="auto" w:fill="FFFFFF"/>
        <w:tabs>
          <w:tab w:val="left" w:pos="150"/>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Project delivery (on time), resources</w:t>
      </w:r>
    </w:p>
    <w:p w:rsidR="006B3597" w:rsidRPr="006B3597" w:rsidRDefault="006B3597" w:rsidP="006B3597">
      <w:pPr>
        <w:numPr>
          <w:ilvl w:val="0"/>
          <w:numId w:val="1"/>
        </w:numPr>
        <w:shd w:val="clear" w:color="auto" w:fill="FFFFFF"/>
        <w:tabs>
          <w:tab w:val="left" w:pos="143"/>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Product delivery</w:t>
      </w:r>
    </w:p>
    <w:p w:rsidR="006B3597" w:rsidRPr="006B3597" w:rsidRDefault="006B3597" w:rsidP="006B3597">
      <w:pPr>
        <w:numPr>
          <w:ilvl w:val="0"/>
          <w:numId w:val="1"/>
        </w:numPr>
        <w:shd w:val="clear" w:color="auto" w:fill="FFFFFF"/>
        <w:tabs>
          <w:tab w:val="left" w:pos="143"/>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Product quality - including back-up facilities</w:t>
      </w:r>
    </w:p>
    <w:p w:rsidR="00EB5F46" w:rsidRDefault="00EB5F46" w:rsidP="006B3597">
      <w:pPr>
        <w:numPr>
          <w:ilvl w:val="0"/>
          <w:numId w:val="1"/>
        </w:numPr>
        <w:shd w:val="clear" w:color="auto" w:fill="FFFFFF"/>
        <w:tabs>
          <w:tab w:val="left" w:pos="150"/>
        </w:tabs>
        <w:spacing w:after="240" w:line="199" w:lineRule="exact"/>
        <w:ind w:left="40" w:right="480"/>
        <w:rPr>
          <w:rFonts w:ascii="Times New Roman" w:eastAsia="Times New Roman" w:hAnsi="Times New Roman" w:cs="Times New Roman"/>
          <w:sz w:val="28"/>
          <w:szCs w:val="28"/>
        </w:rPr>
      </w:pPr>
    </w:p>
    <w:p w:rsidR="006B3597" w:rsidRPr="006B3597" w:rsidRDefault="00EB5F46" w:rsidP="006B3597">
      <w:pPr>
        <w:numPr>
          <w:ilvl w:val="0"/>
          <w:numId w:val="1"/>
        </w:numPr>
        <w:shd w:val="clear" w:color="auto" w:fill="FFFFFF"/>
        <w:tabs>
          <w:tab w:val="left" w:pos="150"/>
        </w:tabs>
        <w:spacing w:after="240" w:line="199" w:lineRule="exact"/>
        <w:ind w:left="40" w:right="480"/>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6B3597" w:rsidRPr="006B3597">
        <w:rPr>
          <w:rFonts w:ascii="Times New Roman" w:eastAsia="Times New Roman" w:hAnsi="Times New Roman" w:cs="Times New Roman"/>
          <w:sz w:val="28"/>
          <w:szCs w:val="28"/>
        </w:rPr>
        <w:t xml:space="preserve">he extent to which local sub-contractors nominated by the contractor, </w:t>
      </w:r>
      <w:r>
        <w:rPr>
          <w:rFonts w:ascii="Times New Roman" w:eastAsia="Times New Roman" w:hAnsi="Times New Roman" w:cs="Times New Roman"/>
          <w:sz w:val="28"/>
          <w:szCs w:val="28"/>
        </w:rPr>
        <w:t xml:space="preserve">   </w:t>
      </w:r>
      <w:r w:rsidR="006B3597" w:rsidRPr="006B3597">
        <w:rPr>
          <w:rFonts w:ascii="Times New Roman" w:eastAsia="Times New Roman" w:hAnsi="Times New Roman" w:cs="Times New Roman"/>
          <w:sz w:val="28"/>
          <w:szCs w:val="28"/>
        </w:rPr>
        <w:t>were used</w:t>
      </w:r>
    </w:p>
    <w:p w:rsidR="006B3597" w:rsidRPr="006B3597" w:rsidRDefault="006B3597" w:rsidP="006B3597">
      <w:pPr>
        <w:numPr>
          <w:ilvl w:val="0"/>
          <w:numId w:val="1"/>
        </w:numPr>
        <w:shd w:val="clear" w:color="auto" w:fill="FFFFFF"/>
        <w:tabs>
          <w:tab w:val="left" w:pos="143"/>
        </w:tabs>
        <w:spacing w:before="240" w:after="240" w:line="240" w:lineRule="auto"/>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References (If any)</w:t>
      </w:r>
    </w:p>
    <w:p w:rsidR="006B3597" w:rsidRPr="006B3597" w:rsidRDefault="006B3597" w:rsidP="00EB5F46">
      <w:pPr>
        <w:pStyle w:val="Heading1"/>
        <w:rPr>
          <w:rFonts w:eastAsia="Times New Roman"/>
        </w:rPr>
      </w:pPr>
      <w:bookmarkStart w:id="0" w:name="bookmark1"/>
      <w:r w:rsidRPr="006B3597">
        <w:rPr>
          <w:rFonts w:eastAsia="Times New Roman"/>
        </w:rPr>
        <w:t>Local Suppliers</w:t>
      </w:r>
      <w:bookmarkEnd w:id="0"/>
    </w:p>
    <w:p w:rsidR="006B3597" w:rsidRPr="006B3597" w:rsidRDefault="006B3597" w:rsidP="006B3597">
      <w:pPr>
        <w:numPr>
          <w:ilvl w:val="0"/>
          <w:numId w:val="1"/>
        </w:numPr>
        <w:shd w:val="clear" w:color="auto" w:fill="FFFFFF"/>
        <w:tabs>
          <w:tab w:val="left" w:pos="150"/>
        </w:tabs>
        <w:spacing w:after="0" w:line="384"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Commitment (Seriousness to carry out the project)</w:t>
      </w:r>
    </w:p>
    <w:p w:rsidR="006B3597" w:rsidRPr="006B3597" w:rsidRDefault="006B3597" w:rsidP="006B3597">
      <w:pPr>
        <w:numPr>
          <w:ilvl w:val="0"/>
          <w:numId w:val="1"/>
        </w:numPr>
        <w:shd w:val="clear" w:color="auto" w:fill="FFFFFF"/>
        <w:tabs>
          <w:tab w:val="left" w:pos="157"/>
        </w:tabs>
        <w:spacing w:after="0" w:line="384"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Support/resources (sufficient resources for the project)</w:t>
      </w:r>
    </w:p>
    <w:p w:rsidR="006B3597" w:rsidRPr="006B3597" w:rsidRDefault="006B3597" w:rsidP="006B3597">
      <w:pPr>
        <w:numPr>
          <w:ilvl w:val="0"/>
          <w:numId w:val="1"/>
        </w:numPr>
        <w:shd w:val="clear" w:color="auto" w:fill="FFFFFF"/>
        <w:tabs>
          <w:tab w:val="left" w:pos="157"/>
        </w:tabs>
        <w:spacing w:after="0" w:line="384"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Sub-contractors (if required)</w:t>
      </w:r>
    </w:p>
    <w:p w:rsidR="006B3597" w:rsidRPr="006B3597" w:rsidRDefault="006B3597" w:rsidP="006B3597">
      <w:pPr>
        <w:numPr>
          <w:ilvl w:val="0"/>
          <w:numId w:val="1"/>
        </w:numPr>
        <w:shd w:val="clear" w:color="auto" w:fill="FFFFFF"/>
        <w:tabs>
          <w:tab w:val="left" w:pos="150"/>
        </w:tabs>
        <w:spacing w:after="240" w:line="240" w:lineRule="auto"/>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Products (quality &amp; after sale service)</w:t>
      </w:r>
    </w:p>
    <w:p w:rsidR="006B3597" w:rsidRPr="006B3597" w:rsidRDefault="006B3597" w:rsidP="006B3597">
      <w:pPr>
        <w:numPr>
          <w:ilvl w:val="0"/>
          <w:numId w:val="1"/>
        </w:numPr>
        <w:shd w:val="clear" w:color="auto" w:fill="FFFFFF"/>
        <w:tabs>
          <w:tab w:val="left" w:pos="150"/>
        </w:tabs>
        <w:spacing w:before="240" w:after="0" w:line="240" w:lineRule="auto"/>
        <w:ind w:left="40"/>
        <w:jc w:val="both"/>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Employees (enough manpower to complete the project on time)</w:t>
      </w:r>
    </w:p>
    <w:p w:rsidR="006B3597" w:rsidRPr="006B3597" w:rsidRDefault="006B3597" w:rsidP="006B3597">
      <w:pPr>
        <w:numPr>
          <w:ilvl w:val="0"/>
          <w:numId w:val="1"/>
        </w:numPr>
        <w:shd w:val="clear" w:color="auto" w:fill="FFFFFF"/>
        <w:tabs>
          <w:tab w:val="left" w:pos="100"/>
        </w:tabs>
        <w:spacing w:after="180" w:line="240" w:lineRule="auto"/>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Research and Development (Potential for innovation)</w:t>
      </w:r>
    </w:p>
    <w:p w:rsidR="006B3597" w:rsidRPr="006B3597" w:rsidRDefault="006B3597" w:rsidP="00EB5F46">
      <w:pPr>
        <w:pStyle w:val="Heading1"/>
        <w:rPr>
          <w:rFonts w:eastAsia="Times New Roman"/>
        </w:rPr>
      </w:pPr>
      <w:r w:rsidRPr="006B3597">
        <w:rPr>
          <w:rFonts w:eastAsia="Times New Roman"/>
        </w:rPr>
        <w:lastRenderedPageBreak/>
        <w:t>Total Cost of Project/Stores</w:t>
      </w:r>
    </w:p>
    <w:p w:rsidR="006B3597" w:rsidRPr="006B3597" w:rsidRDefault="006B3597" w:rsidP="00EB5F46">
      <w:pPr>
        <w:pStyle w:val="Heading1"/>
        <w:rPr>
          <w:rFonts w:eastAsia="Times New Roman"/>
        </w:rPr>
      </w:pPr>
      <w:r w:rsidRPr="006B3597">
        <w:rPr>
          <w:rFonts w:eastAsia="Times New Roman"/>
        </w:rPr>
        <w:t>Operating</w:t>
      </w:r>
    </w:p>
    <w:p w:rsidR="006B3597" w:rsidRPr="006B3597" w:rsidRDefault="006B3597" w:rsidP="006B3597">
      <w:pPr>
        <w:numPr>
          <w:ilvl w:val="0"/>
          <w:numId w:val="1"/>
        </w:numPr>
        <w:shd w:val="clear" w:color="auto" w:fill="FFFFFF"/>
        <w:tabs>
          <w:tab w:val="left" w:pos="100"/>
        </w:tabs>
        <w:spacing w:after="0" w:line="351"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Energy consumption/ratings/performance</w:t>
      </w:r>
    </w:p>
    <w:p w:rsidR="006B3597" w:rsidRPr="006B3597" w:rsidRDefault="006B3597" w:rsidP="006B3597">
      <w:pPr>
        <w:numPr>
          <w:ilvl w:val="0"/>
          <w:numId w:val="1"/>
        </w:numPr>
        <w:shd w:val="clear" w:color="auto" w:fill="FFFFFF"/>
        <w:tabs>
          <w:tab w:val="left" w:pos="100"/>
        </w:tabs>
        <w:spacing w:after="0" w:line="351"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Repairs &amp; maintenance</w:t>
      </w:r>
    </w:p>
    <w:p w:rsidR="006B3597" w:rsidRPr="006B3597" w:rsidRDefault="006B3597" w:rsidP="006B3597">
      <w:pPr>
        <w:numPr>
          <w:ilvl w:val="0"/>
          <w:numId w:val="1"/>
        </w:numPr>
        <w:shd w:val="clear" w:color="auto" w:fill="FFFFFF"/>
        <w:tabs>
          <w:tab w:val="left" w:pos="100"/>
        </w:tabs>
        <w:spacing w:after="0" w:line="382"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 xml:space="preserve">Minimum performance </w:t>
      </w:r>
      <w:r w:rsidRPr="00EB5F46">
        <w:rPr>
          <w:rFonts w:ascii="Times New Roman" w:eastAsia="Times New Roman" w:hAnsi="Times New Roman" w:cs="Times New Roman"/>
          <w:sz w:val="28"/>
          <w:szCs w:val="28"/>
        </w:rPr>
        <w:t xml:space="preserve">standards </w:t>
      </w:r>
      <w:r w:rsidRPr="00EB5F46">
        <w:rPr>
          <w:rFonts w:ascii="Times New Roman" w:eastAsia="Times New Roman" w:hAnsi="Times New Roman" w:cs="Times New Roman"/>
          <w:bCs/>
          <w:sz w:val="28"/>
          <w:szCs w:val="28"/>
        </w:rPr>
        <w:t>Support services</w:t>
      </w:r>
    </w:p>
    <w:p w:rsidR="006B3597" w:rsidRPr="006B3597" w:rsidRDefault="006B3597" w:rsidP="006B3597">
      <w:pPr>
        <w:numPr>
          <w:ilvl w:val="0"/>
          <w:numId w:val="1"/>
        </w:numPr>
        <w:shd w:val="clear" w:color="auto" w:fill="FFFFFF"/>
        <w:tabs>
          <w:tab w:val="left" w:pos="100"/>
        </w:tabs>
        <w:spacing w:after="0" w:line="382"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Spare parts (availability)</w:t>
      </w:r>
    </w:p>
    <w:p w:rsidR="006B3597" w:rsidRPr="006B3597" w:rsidRDefault="006B3597" w:rsidP="006B3597">
      <w:pPr>
        <w:numPr>
          <w:ilvl w:val="0"/>
          <w:numId w:val="1"/>
        </w:numPr>
        <w:shd w:val="clear" w:color="auto" w:fill="FFFFFF"/>
        <w:tabs>
          <w:tab w:val="left" w:pos="106"/>
        </w:tabs>
        <w:spacing w:after="0" w:line="369"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Maintenance facilities (</w:t>
      </w:r>
      <w:r w:rsidRPr="00EB5F46">
        <w:rPr>
          <w:rFonts w:ascii="Times New Roman" w:eastAsia="Times New Roman" w:hAnsi="Times New Roman" w:cs="Times New Roman"/>
          <w:sz w:val="28"/>
          <w:szCs w:val="28"/>
        </w:rPr>
        <w:t xml:space="preserve">local) </w:t>
      </w:r>
      <w:r w:rsidRPr="00EB5F46">
        <w:rPr>
          <w:rFonts w:ascii="Times New Roman" w:eastAsia="Times New Roman" w:hAnsi="Times New Roman" w:cs="Times New Roman"/>
          <w:bCs/>
          <w:sz w:val="28"/>
          <w:szCs w:val="28"/>
        </w:rPr>
        <w:t>Warranties</w:t>
      </w:r>
    </w:p>
    <w:p w:rsidR="006B3597" w:rsidRPr="006B3597" w:rsidRDefault="006B3597" w:rsidP="006B3597">
      <w:pPr>
        <w:shd w:val="clear" w:color="auto" w:fill="FFFFFF"/>
        <w:spacing w:after="0" w:line="369"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 xml:space="preserve">Defect liabilities (usually mentioned in tender documentation) </w:t>
      </w:r>
    </w:p>
    <w:p w:rsidR="00EB5F46" w:rsidRDefault="00EB5F46" w:rsidP="006B3597">
      <w:pPr>
        <w:shd w:val="clear" w:color="auto" w:fill="FFFFFF"/>
        <w:spacing w:after="0" w:line="369" w:lineRule="exact"/>
        <w:rPr>
          <w:rFonts w:ascii="Times New Roman" w:eastAsia="Times New Roman" w:hAnsi="Times New Roman" w:cs="Times New Roman"/>
          <w:b/>
          <w:bCs/>
          <w:sz w:val="28"/>
          <w:szCs w:val="28"/>
        </w:rPr>
      </w:pPr>
    </w:p>
    <w:p w:rsidR="006B3597" w:rsidRPr="006B3597" w:rsidRDefault="006B3597" w:rsidP="00EB5F46">
      <w:pPr>
        <w:pStyle w:val="Heading1"/>
        <w:rPr>
          <w:rFonts w:eastAsia="Times New Roman"/>
        </w:rPr>
      </w:pPr>
      <w:r w:rsidRPr="006B3597">
        <w:rPr>
          <w:rFonts w:eastAsia="Times New Roman"/>
        </w:rPr>
        <w:t>Life of product</w:t>
      </w:r>
    </w:p>
    <w:p w:rsidR="006B3597" w:rsidRPr="006B3597" w:rsidRDefault="006B3597" w:rsidP="006B3597">
      <w:pPr>
        <w:numPr>
          <w:ilvl w:val="0"/>
          <w:numId w:val="1"/>
        </w:numPr>
        <w:shd w:val="clear" w:color="auto" w:fill="FFFFFF"/>
        <w:tabs>
          <w:tab w:val="left" w:pos="100"/>
        </w:tabs>
        <w:spacing w:after="0" w:line="344"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Potential for expansion</w:t>
      </w:r>
    </w:p>
    <w:p w:rsidR="006B3597" w:rsidRPr="006B3597" w:rsidRDefault="006B3597" w:rsidP="006B3597">
      <w:pPr>
        <w:numPr>
          <w:ilvl w:val="0"/>
          <w:numId w:val="1"/>
        </w:numPr>
        <w:shd w:val="clear" w:color="auto" w:fill="FFFFFF"/>
        <w:tabs>
          <w:tab w:val="left" w:pos="106"/>
        </w:tabs>
        <w:spacing w:after="0" w:line="344"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Shelf Life</w:t>
      </w:r>
    </w:p>
    <w:p w:rsidR="006B3597" w:rsidRPr="006B3597" w:rsidRDefault="006B3597" w:rsidP="006B3597">
      <w:pPr>
        <w:numPr>
          <w:ilvl w:val="0"/>
          <w:numId w:val="1"/>
        </w:numPr>
        <w:shd w:val="clear" w:color="auto" w:fill="FFFFFF"/>
        <w:tabs>
          <w:tab w:val="left" w:pos="106"/>
        </w:tabs>
        <w:spacing w:after="0" w:line="344"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Re-sale/disposal value or costs</w:t>
      </w:r>
    </w:p>
    <w:p w:rsidR="006B3597" w:rsidRPr="006B3597" w:rsidRDefault="006B3597" w:rsidP="006B3597">
      <w:pPr>
        <w:numPr>
          <w:ilvl w:val="0"/>
          <w:numId w:val="1"/>
        </w:numPr>
        <w:shd w:val="clear" w:color="auto" w:fill="FFFFFF"/>
        <w:tabs>
          <w:tab w:val="left" w:pos="100"/>
        </w:tabs>
        <w:spacing w:after="0" w:line="344" w:lineRule="exact"/>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Replacement</w:t>
      </w:r>
    </w:p>
    <w:p w:rsidR="006B3597" w:rsidRPr="006B3597" w:rsidRDefault="006B3597" w:rsidP="00EB5F46">
      <w:pPr>
        <w:pStyle w:val="Heading1"/>
        <w:rPr>
          <w:rFonts w:eastAsia="Times New Roman"/>
        </w:rPr>
      </w:pPr>
      <w:r w:rsidRPr="006B3597">
        <w:rPr>
          <w:rFonts w:eastAsia="Times New Roman"/>
        </w:rPr>
        <w:t>Quality</w:t>
      </w:r>
    </w:p>
    <w:p w:rsidR="006B3597" w:rsidRPr="006B3597" w:rsidRDefault="006B3597" w:rsidP="006B3597">
      <w:pPr>
        <w:numPr>
          <w:ilvl w:val="0"/>
          <w:numId w:val="1"/>
        </w:numPr>
        <w:shd w:val="clear" w:color="auto" w:fill="FFFFFF"/>
        <w:tabs>
          <w:tab w:val="left" w:pos="100"/>
        </w:tabs>
        <w:spacing w:before="180" w:after="0" w:line="240" w:lineRule="auto"/>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Fitness for use.</w:t>
      </w:r>
    </w:p>
    <w:p w:rsidR="006B3597" w:rsidRPr="006B3597" w:rsidRDefault="006B3597" w:rsidP="006B3597">
      <w:pPr>
        <w:numPr>
          <w:ilvl w:val="0"/>
          <w:numId w:val="1"/>
        </w:numPr>
        <w:shd w:val="clear" w:color="auto" w:fill="FFFFFF"/>
        <w:tabs>
          <w:tab w:val="left" w:pos="120"/>
        </w:tabs>
        <w:spacing w:after="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Level of assurance of continuing quality of product/service.</w:t>
      </w:r>
    </w:p>
    <w:p w:rsidR="006B3597" w:rsidRPr="006B3597" w:rsidRDefault="006B3597" w:rsidP="006B3597">
      <w:pPr>
        <w:numPr>
          <w:ilvl w:val="0"/>
          <w:numId w:val="1"/>
        </w:numPr>
        <w:shd w:val="clear" w:color="auto" w:fill="FFFFFF"/>
        <w:tabs>
          <w:tab w:val="left" w:pos="120"/>
        </w:tabs>
        <w:spacing w:after="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Compliance with standards and regulatory requirements</w:t>
      </w:r>
    </w:p>
    <w:p w:rsidR="006B3597" w:rsidRDefault="006B3597" w:rsidP="006B3597">
      <w:pPr>
        <w:numPr>
          <w:ilvl w:val="0"/>
          <w:numId w:val="1"/>
        </w:numPr>
        <w:shd w:val="clear" w:color="auto" w:fill="FFFFFF"/>
        <w:tabs>
          <w:tab w:val="left" w:pos="114"/>
        </w:tabs>
        <w:spacing w:after="6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Alternatives</w:t>
      </w:r>
    </w:p>
    <w:p w:rsidR="00EB5F46" w:rsidRPr="006B3597" w:rsidRDefault="00EB5F46" w:rsidP="006B3597">
      <w:pPr>
        <w:numPr>
          <w:ilvl w:val="0"/>
          <w:numId w:val="1"/>
        </w:numPr>
        <w:shd w:val="clear" w:color="auto" w:fill="FFFFFF"/>
        <w:tabs>
          <w:tab w:val="left" w:pos="114"/>
        </w:tabs>
        <w:spacing w:after="60" w:line="344" w:lineRule="exact"/>
        <w:ind w:left="20"/>
        <w:rPr>
          <w:rFonts w:ascii="Times New Roman" w:eastAsia="Times New Roman" w:hAnsi="Times New Roman" w:cs="Times New Roman"/>
          <w:sz w:val="28"/>
          <w:szCs w:val="28"/>
        </w:rPr>
      </w:pPr>
    </w:p>
    <w:p w:rsidR="006B3597" w:rsidRPr="006B3597" w:rsidRDefault="006B3597" w:rsidP="00EB5F46">
      <w:pPr>
        <w:pStyle w:val="Heading1"/>
        <w:rPr>
          <w:rFonts w:eastAsia="Times New Roman"/>
        </w:rPr>
      </w:pPr>
      <w:r w:rsidRPr="006B3597">
        <w:rPr>
          <w:rFonts w:eastAsia="Times New Roman"/>
        </w:rPr>
        <w:t>Timeliness</w:t>
      </w:r>
    </w:p>
    <w:p w:rsidR="006B3597" w:rsidRPr="006B3597" w:rsidRDefault="006B3597" w:rsidP="006B3597">
      <w:pPr>
        <w:numPr>
          <w:ilvl w:val="0"/>
          <w:numId w:val="1"/>
        </w:numPr>
        <w:shd w:val="clear" w:color="auto" w:fill="FFFFFF"/>
        <w:tabs>
          <w:tab w:val="left" w:pos="120"/>
        </w:tabs>
        <w:spacing w:after="0" w:line="351"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Supplies/Products/Services</w:t>
      </w:r>
    </w:p>
    <w:p w:rsidR="006B3597" w:rsidRPr="006B3597" w:rsidRDefault="006B3597" w:rsidP="006B3597">
      <w:pPr>
        <w:numPr>
          <w:ilvl w:val="0"/>
          <w:numId w:val="1"/>
        </w:numPr>
        <w:shd w:val="clear" w:color="auto" w:fill="FFFFFF"/>
        <w:tabs>
          <w:tab w:val="left" w:pos="120"/>
        </w:tabs>
        <w:spacing w:after="0" w:line="351"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Availability/Delivery</w:t>
      </w:r>
    </w:p>
    <w:p w:rsidR="006B3597" w:rsidRPr="006B3597" w:rsidRDefault="006B3597" w:rsidP="006B3597">
      <w:pPr>
        <w:numPr>
          <w:ilvl w:val="0"/>
          <w:numId w:val="1"/>
        </w:numPr>
        <w:shd w:val="clear" w:color="auto" w:fill="FFFFFF"/>
        <w:tabs>
          <w:tab w:val="left" w:pos="120"/>
        </w:tabs>
        <w:spacing w:after="0" w:line="351"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Operational and financial effects of earlier/later availability.</w:t>
      </w:r>
    </w:p>
    <w:p w:rsidR="006B3597" w:rsidRPr="006B3597" w:rsidRDefault="006B3597" w:rsidP="006B3597">
      <w:pPr>
        <w:numPr>
          <w:ilvl w:val="0"/>
          <w:numId w:val="1"/>
        </w:numPr>
        <w:shd w:val="clear" w:color="auto" w:fill="FFFFFF"/>
        <w:tabs>
          <w:tab w:val="left" w:pos="120"/>
        </w:tabs>
        <w:spacing w:after="0" w:line="351"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Length of supply chain, its vulnerability to disruption</w:t>
      </w:r>
    </w:p>
    <w:p w:rsidR="006B3597" w:rsidRDefault="006B3597" w:rsidP="006B3597">
      <w:pPr>
        <w:numPr>
          <w:ilvl w:val="0"/>
          <w:numId w:val="1"/>
        </w:numPr>
        <w:shd w:val="clear" w:color="auto" w:fill="FFFFFF"/>
        <w:tabs>
          <w:tab w:val="left" w:pos="120"/>
        </w:tabs>
        <w:spacing w:after="60" w:line="351"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Completion</w:t>
      </w:r>
    </w:p>
    <w:p w:rsidR="00EB5F46" w:rsidRPr="006B3597" w:rsidRDefault="00EB5F46" w:rsidP="00EB5F46">
      <w:pPr>
        <w:shd w:val="clear" w:color="auto" w:fill="FFFFFF"/>
        <w:tabs>
          <w:tab w:val="left" w:pos="120"/>
        </w:tabs>
        <w:spacing w:after="60" w:line="351" w:lineRule="exact"/>
        <w:ind w:left="20"/>
        <w:rPr>
          <w:rFonts w:ascii="Times New Roman" w:eastAsia="Times New Roman" w:hAnsi="Times New Roman" w:cs="Times New Roman"/>
          <w:sz w:val="28"/>
          <w:szCs w:val="28"/>
        </w:rPr>
      </w:pPr>
    </w:p>
    <w:p w:rsidR="006B3597" w:rsidRPr="006B3597" w:rsidRDefault="006B3597" w:rsidP="00EB5F46">
      <w:pPr>
        <w:pStyle w:val="Heading1"/>
        <w:rPr>
          <w:rFonts w:eastAsia="Times New Roman"/>
        </w:rPr>
      </w:pPr>
      <w:r w:rsidRPr="006B3597">
        <w:rPr>
          <w:rFonts w:eastAsia="Times New Roman"/>
        </w:rPr>
        <w:lastRenderedPageBreak/>
        <w:t>Alternative/Innovations</w:t>
      </w:r>
    </w:p>
    <w:p w:rsidR="006B3597" w:rsidRPr="006B3597" w:rsidRDefault="006B3597" w:rsidP="006B3597">
      <w:pPr>
        <w:numPr>
          <w:ilvl w:val="0"/>
          <w:numId w:val="1"/>
        </w:numPr>
        <w:shd w:val="clear" w:color="auto" w:fill="FFFFFF"/>
        <w:tabs>
          <w:tab w:val="left" w:pos="120"/>
        </w:tabs>
        <w:spacing w:before="180" w:after="180" w:line="240" w:lineRule="auto"/>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Other than those called for in specifications</w:t>
      </w:r>
    </w:p>
    <w:p w:rsidR="006B3597" w:rsidRPr="006B3597" w:rsidRDefault="006B3597" w:rsidP="006B3597">
      <w:pPr>
        <w:rPr>
          <w:rFonts w:ascii="Times New Roman" w:hAnsi="Times New Roman" w:cs="Times New Roman"/>
          <w:sz w:val="28"/>
          <w:szCs w:val="28"/>
        </w:rPr>
      </w:pPr>
      <w:r w:rsidRPr="006B3597">
        <w:rPr>
          <w:rFonts w:ascii="Times New Roman" w:hAnsi="Times New Roman" w:cs="Times New Roman"/>
          <w:sz w:val="28"/>
          <w:szCs w:val="28"/>
        </w:rPr>
        <w:t>Circumstances can arise that justify technological risks and/or additional costs if improved best value for money can be expected over the longer term. This is where development of an innovative product or process is involved, particularly where patent rights are involved, or where there is a requirement to develop long-term competition to prevent a monopoly supplier from emerging.</w:t>
      </w:r>
    </w:p>
    <w:p w:rsidR="006B3597" w:rsidRPr="006B3597" w:rsidRDefault="006B3597" w:rsidP="006B3597">
      <w:pPr>
        <w:numPr>
          <w:ilvl w:val="0"/>
          <w:numId w:val="1"/>
        </w:numPr>
        <w:shd w:val="clear" w:color="auto" w:fill="FFFFFF"/>
        <w:tabs>
          <w:tab w:val="left" w:pos="114"/>
        </w:tabs>
        <w:spacing w:before="180" w:after="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New technology</w:t>
      </w:r>
    </w:p>
    <w:p w:rsidR="006B3597" w:rsidRPr="006B3597" w:rsidRDefault="006B3597" w:rsidP="006B3597">
      <w:pPr>
        <w:numPr>
          <w:ilvl w:val="0"/>
          <w:numId w:val="1"/>
        </w:numPr>
        <w:shd w:val="clear" w:color="auto" w:fill="FFFFFF"/>
        <w:tabs>
          <w:tab w:val="left" w:pos="114"/>
        </w:tabs>
        <w:spacing w:after="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Methods</w:t>
      </w:r>
    </w:p>
    <w:p w:rsidR="006B3597" w:rsidRPr="006B3597" w:rsidRDefault="006B3597" w:rsidP="006B3597">
      <w:pPr>
        <w:numPr>
          <w:ilvl w:val="0"/>
          <w:numId w:val="1"/>
        </w:numPr>
        <w:shd w:val="clear" w:color="auto" w:fill="FFFFFF"/>
        <w:tabs>
          <w:tab w:val="left" w:pos="120"/>
        </w:tabs>
        <w:spacing w:after="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Solutions</w:t>
      </w:r>
    </w:p>
    <w:p w:rsidR="006B3597" w:rsidRPr="006B3597" w:rsidRDefault="006B3597" w:rsidP="006B3597">
      <w:pPr>
        <w:numPr>
          <w:ilvl w:val="0"/>
          <w:numId w:val="1"/>
        </w:numPr>
        <w:shd w:val="clear" w:color="auto" w:fill="FFFFFF"/>
        <w:tabs>
          <w:tab w:val="left" w:pos="114"/>
        </w:tabs>
        <w:spacing w:after="0" w:line="344" w:lineRule="exact"/>
        <w:ind w:left="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Products</w:t>
      </w:r>
    </w:p>
    <w:p w:rsidR="006B3597" w:rsidRPr="006B3597" w:rsidRDefault="006B3597" w:rsidP="006B3597">
      <w:pPr>
        <w:shd w:val="clear" w:color="auto" w:fill="FFFFFF"/>
        <w:tabs>
          <w:tab w:val="left" w:pos="114"/>
        </w:tabs>
        <w:spacing w:after="0" w:line="344" w:lineRule="exact"/>
        <w:rPr>
          <w:rFonts w:ascii="Times New Roman" w:eastAsia="Times New Roman" w:hAnsi="Times New Roman" w:cs="Times New Roman"/>
          <w:sz w:val="28"/>
          <w:szCs w:val="28"/>
        </w:rPr>
      </w:pPr>
    </w:p>
    <w:p w:rsidR="006B3597" w:rsidRPr="006B3597" w:rsidRDefault="006B3597" w:rsidP="00EB5F46">
      <w:pPr>
        <w:pStyle w:val="Heading1"/>
        <w:rPr>
          <w:rFonts w:eastAsia="Times New Roman"/>
        </w:rPr>
      </w:pPr>
      <w:r w:rsidRPr="006B3597">
        <w:rPr>
          <w:rFonts w:eastAsia="Times New Roman"/>
        </w:rPr>
        <w:t>Environmental Factors</w:t>
      </w:r>
    </w:p>
    <w:p w:rsidR="006B3597" w:rsidRPr="006B3597" w:rsidRDefault="006B3597" w:rsidP="006B3597">
      <w:pPr>
        <w:numPr>
          <w:ilvl w:val="0"/>
          <w:numId w:val="1"/>
        </w:numPr>
        <w:shd w:val="clear" w:color="auto" w:fill="FFFFFF"/>
        <w:tabs>
          <w:tab w:val="left" w:pos="157"/>
        </w:tabs>
        <w:spacing w:before="180"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Recycle</w:t>
      </w:r>
    </w:p>
    <w:p w:rsidR="006B3597" w:rsidRPr="006B3597" w:rsidRDefault="006B3597" w:rsidP="006B3597">
      <w:pPr>
        <w:numPr>
          <w:ilvl w:val="0"/>
          <w:numId w:val="1"/>
        </w:numPr>
        <w:shd w:val="clear" w:color="auto" w:fill="FFFFFF"/>
        <w:tabs>
          <w:tab w:val="left" w:pos="143"/>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Energy Conservation</w:t>
      </w:r>
    </w:p>
    <w:p w:rsidR="006B3597" w:rsidRPr="006B3597" w:rsidRDefault="006B3597" w:rsidP="006B3597">
      <w:pPr>
        <w:numPr>
          <w:ilvl w:val="0"/>
          <w:numId w:val="1"/>
        </w:numPr>
        <w:shd w:val="clear" w:color="auto" w:fill="FFFFFF"/>
        <w:tabs>
          <w:tab w:val="left" w:pos="150"/>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Pollution emission/control</w:t>
      </w:r>
    </w:p>
    <w:p w:rsidR="006B3597" w:rsidRPr="006B3597" w:rsidRDefault="006B3597" w:rsidP="006B3597">
      <w:pPr>
        <w:numPr>
          <w:ilvl w:val="0"/>
          <w:numId w:val="1"/>
        </w:numPr>
        <w:shd w:val="clear" w:color="auto" w:fill="FFFFFF"/>
        <w:tabs>
          <w:tab w:val="left" w:pos="157"/>
        </w:tabs>
        <w:spacing w:after="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Manufacture processes</w:t>
      </w:r>
    </w:p>
    <w:p w:rsidR="006B3597" w:rsidRPr="006B3597" w:rsidRDefault="006B3597" w:rsidP="006B3597">
      <w:pPr>
        <w:numPr>
          <w:ilvl w:val="0"/>
          <w:numId w:val="1"/>
        </w:numPr>
        <w:shd w:val="clear" w:color="auto" w:fill="FFFFFF"/>
        <w:tabs>
          <w:tab w:val="left" w:pos="143"/>
        </w:tabs>
        <w:spacing w:after="60" w:line="377"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Clearances</w:t>
      </w:r>
    </w:p>
    <w:p w:rsidR="006B3597" w:rsidRPr="006B3597" w:rsidRDefault="006B3597" w:rsidP="00EB5F46">
      <w:pPr>
        <w:pStyle w:val="Heading1"/>
        <w:rPr>
          <w:rFonts w:eastAsia="Times New Roman"/>
        </w:rPr>
      </w:pPr>
      <w:r w:rsidRPr="006B3597">
        <w:rPr>
          <w:rFonts w:eastAsia="Times New Roman"/>
        </w:rPr>
        <w:t>Reasonableness of Price</w:t>
      </w:r>
    </w:p>
    <w:p w:rsidR="006B3597" w:rsidRPr="006B3597" w:rsidRDefault="006B3597" w:rsidP="00EB5F46">
      <w:pPr>
        <w:pStyle w:val="Heading1"/>
        <w:rPr>
          <w:rFonts w:eastAsia="Times New Roman"/>
        </w:rPr>
      </w:pPr>
      <w:bookmarkStart w:id="1" w:name="bookmark2"/>
      <w:r w:rsidRPr="006B3597">
        <w:rPr>
          <w:rFonts w:eastAsia="Times New Roman"/>
        </w:rPr>
        <w:t>Saving Foreign Exchange</w:t>
      </w:r>
      <w:bookmarkEnd w:id="1"/>
    </w:p>
    <w:p w:rsidR="006B3597" w:rsidRPr="006B3597" w:rsidRDefault="006B3597" w:rsidP="00EB5F46">
      <w:pPr>
        <w:shd w:val="clear" w:color="auto" w:fill="FFFFFF"/>
        <w:spacing w:before="240" w:after="240" w:line="480" w:lineRule="auto"/>
        <w:jc w:val="both"/>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It is the policy of Pakistan Government to support local suppliers wherever price, performance, quality, suitability and other evaluation criteria are comparable with foreign manufacturers.</w:t>
      </w:r>
    </w:p>
    <w:p w:rsidR="006B3597" w:rsidRPr="006B3597" w:rsidRDefault="006B3597" w:rsidP="00EB5F46">
      <w:pPr>
        <w:pStyle w:val="Heading1"/>
        <w:rPr>
          <w:rFonts w:eastAsia="Times New Roman"/>
        </w:rPr>
      </w:pPr>
      <w:bookmarkStart w:id="2" w:name="bookmark3"/>
      <w:r w:rsidRPr="006B3597">
        <w:rPr>
          <w:rFonts w:eastAsia="Times New Roman"/>
        </w:rPr>
        <w:t>Reasonable Profit</w:t>
      </w:r>
      <w:bookmarkEnd w:id="2"/>
    </w:p>
    <w:p w:rsidR="006B3597" w:rsidRPr="006B3597" w:rsidRDefault="006B3597" w:rsidP="006B3597">
      <w:pPr>
        <w:shd w:val="clear" w:color="auto" w:fill="FFFFFF"/>
        <w:spacing w:after="0" w:line="384"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Provision for reasonable profit to supplier.</w:t>
      </w:r>
    </w:p>
    <w:p w:rsidR="00EB5F46" w:rsidRDefault="00EB5F46" w:rsidP="006B3597">
      <w:pPr>
        <w:shd w:val="clear" w:color="auto" w:fill="FFFFFF"/>
        <w:spacing w:after="0" w:line="384" w:lineRule="exact"/>
        <w:ind w:left="40"/>
        <w:rPr>
          <w:rFonts w:ascii="Times New Roman" w:eastAsia="Times New Roman" w:hAnsi="Times New Roman" w:cs="Times New Roman"/>
          <w:b/>
          <w:bCs/>
          <w:sz w:val="28"/>
          <w:szCs w:val="28"/>
        </w:rPr>
      </w:pPr>
    </w:p>
    <w:p w:rsidR="006B3597" w:rsidRPr="006B3597" w:rsidRDefault="006B3597" w:rsidP="00EB5F46">
      <w:pPr>
        <w:pStyle w:val="Heading1"/>
        <w:rPr>
          <w:rFonts w:eastAsia="Times New Roman"/>
        </w:rPr>
      </w:pPr>
      <w:r w:rsidRPr="006B3597">
        <w:rPr>
          <w:rFonts w:eastAsia="Times New Roman"/>
        </w:rPr>
        <w:t>Value for Money</w:t>
      </w:r>
    </w:p>
    <w:p w:rsidR="006B3597" w:rsidRPr="006B3597" w:rsidRDefault="006B3597" w:rsidP="006B3597">
      <w:pPr>
        <w:shd w:val="clear" w:color="auto" w:fill="FFFFFF"/>
        <w:spacing w:after="180" w:line="384" w:lineRule="exact"/>
        <w:ind w:left="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Best value for money to purchaser</w:t>
      </w:r>
    </w:p>
    <w:p w:rsidR="006B3597" w:rsidRPr="006B3597" w:rsidRDefault="006B3597" w:rsidP="00EB5F46">
      <w:pPr>
        <w:pStyle w:val="Heading1"/>
        <w:rPr>
          <w:rFonts w:eastAsia="Times New Roman"/>
        </w:rPr>
      </w:pPr>
      <w:r w:rsidRPr="006B3597">
        <w:rPr>
          <w:rFonts w:eastAsia="Times New Roman"/>
        </w:rPr>
        <w:t>Direct Cost</w:t>
      </w:r>
    </w:p>
    <w:p w:rsidR="006B3597" w:rsidRPr="006B3597" w:rsidRDefault="006B3597" w:rsidP="006B3597">
      <w:pPr>
        <w:numPr>
          <w:ilvl w:val="0"/>
          <w:numId w:val="1"/>
        </w:numPr>
        <w:shd w:val="clear" w:color="auto" w:fill="FFFFFF"/>
        <w:tabs>
          <w:tab w:val="left" w:pos="430"/>
        </w:tabs>
        <w:spacing w:after="0" w:line="370" w:lineRule="exact"/>
        <w:ind w:left="3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Fixed</w:t>
      </w:r>
    </w:p>
    <w:p w:rsidR="006B3597" w:rsidRPr="006B3597" w:rsidRDefault="006B3597" w:rsidP="006B3597">
      <w:pPr>
        <w:numPr>
          <w:ilvl w:val="0"/>
          <w:numId w:val="1"/>
        </w:numPr>
        <w:shd w:val="clear" w:color="auto" w:fill="FFFFFF"/>
        <w:tabs>
          <w:tab w:val="left" w:pos="430"/>
        </w:tabs>
        <w:spacing w:after="0" w:line="370" w:lineRule="exact"/>
        <w:ind w:left="3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Foreign exchange risks and costs</w:t>
      </w:r>
    </w:p>
    <w:p w:rsidR="006B3597" w:rsidRPr="006B3597" w:rsidRDefault="006B3597" w:rsidP="006B3597">
      <w:pPr>
        <w:numPr>
          <w:ilvl w:val="0"/>
          <w:numId w:val="1"/>
        </w:numPr>
        <w:shd w:val="clear" w:color="auto" w:fill="FFFFFF"/>
        <w:tabs>
          <w:tab w:val="left" w:pos="430"/>
        </w:tabs>
        <w:spacing w:after="0" w:line="370" w:lineRule="exact"/>
        <w:ind w:left="32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Variable - differences in cost escalation formulae</w:t>
      </w:r>
    </w:p>
    <w:p w:rsidR="006B3597" w:rsidRPr="006B3597" w:rsidRDefault="006B3597" w:rsidP="006B3597">
      <w:pPr>
        <w:shd w:val="clear" w:color="auto" w:fill="FFFFFF"/>
        <w:tabs>
          <w:tab w:val="left" w:pos="430"/>
        </w:tabs>
        <w:spacing w:after="0" w:line="370" w:lineRule="exact"/>
        <w:rPr>
          <w:rFonts w:ascii="Times New Roman" w:eastAsia="Times New Roman" w:hAnsi="Times New Roman" w:cs="Times New Roman"/>
          <w:sz w:val="28"/>
          <w:szCs w:val="28"/>
        </w:rPr>
      </w:pPr>
    </w:p>
    <w:p w:rsidR="006B3597" w:rsidRPr="006B3597" w:rsidRDefault="006B3597" w:rsidP="006B3597">
      <w:pPr>
        <w:numPr>
          <w:ilvl w:val="0"/>
          <w:numId w:val="1"/>
        </w:numPr>
        <w:shd w:val="clear" w:color="auto" w:fill="FFFFFF"/>
        <w:tabs>
          <w:tab w:val="left" w:pos="250"/>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Awards rates</w:t>
      </w:r>
    </w:p>
    <w:p w:rsidR="006B3597" w:rsidRPr="006B3597" w:rsidRDefault="006B3597" w:rsidP="006B3597">
      <w:pPr>
        <w:numPr>
          <w:ilvl w:val="0"/>
          <w:numId w:val="1"/>
        </w:numPr>
        <w:shd w:val="clear" w:color="auto" w:fill="FFFFFF"/>
        <w:tabs>
          <w:tab w:val="left" w:pos="263"/>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Discounts</w:t>
      </w:r>
    </w:p>
    <w:p w:rsidR="00EB5F46" w:rsidRDefault="00EB5F46" w:rsidP="006B3597">
      <w:pPr>
        <w:numPr>
          <w:ilvl w:val="0"/>
          <w:numId w:val="1"/>
        </w:numPr>
        <w:shd w:val="clear" w:color="auto" w:fill="FFFFFF"/>
        <w:tabs>
          <w:tab w:val="left" w:pos="455"/>
        </w:tabs>
        <w:spacing w:after="0" w:line="377" w:lineRule="exact"/>
        <w:ind w:left="140"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3597" w:rsidRPr="006B3597">
        <w:rPr>
          <w:rFonts w:ascii="Times New Roman" w:eastAsia="Times New Roman" w:hAnsi="Times New Roman" w:cs="Times New Roman"/>
          <w:sz w:val="28"/>
          <w:szCs w:val="28"/>
        </w:rPr>
        <w:t xml:space="preserve">Materials </w:t>
      </w:r>
    </w:p>
    <w:p w:rsidR="00EB5F46" w:rsidRDefault="00EB5F46" w:rsidP="00EB5F46">
      <w:pPr>
        <w:shd w:val="clear" w:color="auto" w:fill="FFFFFF"/>
        <w:tabs>
          <w:tab w:val="left" w:pos="455"/>
        </w:tabs>
        <w:spacing w:after="0" w:line="377" w:lineRule="exact"/>
        <w:ind w:left="140" w:right="1080"/>
        <w:rPr>
          <w:rFonts w:ascii="Times New Roman" w:eastAsia="Times New Roman" w:hAnsi="Times New Roman" w:cs="Times New Roman"/>
          <w:sz w:val="28"/>
          <w:szCs w:val="28"/>
        </w:rPr>
      </w:pPr>
    </w:p>
    <w:p w:rsidR="00EB5F46" w:rsidRDefault="00EB5F46" w:rsidP="00EB5F46">
      <w:pPr>
        <w:pStyle w:val="Heading1"/>
        <w:rPr>
          <w:rFonts w:eastAsia="Times New Roman"/>
        </w:rPr>
      </w:pPr>
    </w:p>
    <w:p w:rsidR="006B3597" w:rsidRPr="006B3597" w:rsidRDefault="006B3597" w:rsidP="00EB5F46">
      <w:pPr>
        <w:pStyle w:val="Heading1"/>
        <w:rPr>
          <w:rFonts w:eastAsia="Times New Roman"/>
        </w:rPr>
      </w:pPr>
      <w:r w:rsidRPr="006B3597">
        <w:rPr>
          <w:rFonts w:eastAsia="Times New Roman"/>
        </w:rPr>
        <w:t>Indirect Cost</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Warranties and technical guarantees offered</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Service and maintenance</w:t>
      </w:r>
    </w:p>
    <w:p w:rsidR="006B3597" w:rsidRPr="006B3597" w:rsidRDefault="006B3597" w:rsidP="006B3597">
      <w:pPr>
        <w:numPr>
          <w:ilvl w:val="0"/>
          <w:numId w:val="1"/>
        </w:numPr>
        <w:shd w:val="clear" w:color="auto" w:fill="FFFFFF"/>
        <w:tabs>
          <w:tab w:val="left" w:pos="250"/>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Training</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Conversion or changeover costs from existing</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Equipment or systems</w:t>
      </w:r>
    </w:p>
    <w:p w:rsidR="006B3597" w:rsidRPr="006B3597" w:rsidRDefault="006B3597" w:rsidP="006B3597">
      <w:pPr>
        <w:numPr>
          <w:ilvl w:val="0"/>
          <w:numId w:val="1"/>
        </w:numPr>
        <w:shd w:val="clear" w:color="auto" w:fill="FFFFFF"/>
        <w:tabs>
          <w:tab w:val="left" w:pos="263"/>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Standard or workmanship/quality of materials</w:t>
      </w:r>
    </w:p>
    <w:p w:rsidR="00EB5F46" w:rsidRDefault="006B3597" w:rsidP="006B3597">
      <w:pPr>
        <w:numPr>
          <w:ilvl w:val="0"/>
          <w:numId w:val="1"/>
        </w:numPr>
        <w:shd w:val="clear" w:color="auto" w:fill="FFFFFF"/>
        <w:tabs>
          <w:tab w:val="left" w:pos="449"/>
        </w:tabs>
        <w:spacing w:after="0" w:line="377" w:lineRule="exact"/>
        <w:ind w:left="140" w:right="108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 xml:space="preserve">Cost for supervision </w:t>
      </w:r>
    </w:p>
    <w:p w:rsidR="00EB5F46" w:rsidRDefault="00EB5F46" w:rsidP="00EB5F46">
      <w:pPr>
        <w:shd w:val="clear" w:color="auto" w:fill="FFFFFF"/>
        <w:tabs>
          <w:tab w:val="left" w:pos="449"/>
        </w:tabs>
        <w:spacing w:after="0" w:line="377" w:lineRule="exact"/>
        <w:ind w:left="140" w:right="1080"/>
        <w:rPr>
          <w:rFonts w:ascii="Times New Roman" w:eastAsia="Times New Roman" w:hAnsi="Times New Roman" w:cs="Times New Roman"/>
          <w:sz w:val="28"/>
          <w:szCs w:val="28"/>
        </w:rPr>
      </w:pPr>
    </w:p>
    <w:p w:rsidR="006B3597" w:rsidRPr="006B3597" w:rsidRDefault="006B3597" w:rsidP="00EB5F46">
      <w:pPr>
        <w:pStyle w:val="Heading1"/>
        <w:rPr>
          <w:rFonts w:eastAsia="Times New Roman"/>
        </w:rPr>
      </w:pPr>
      <w:r w:rsidRPr="006B3597">
        <w:rPr>
          <w:rFonts w:eastAsia="Times New Roman"/>
        </w:rPr>
        <w:t>Operational Cost</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Running costs</w:t>
      </w:r>
    </w:p>
    <w:p w:rsidR="006B3597" w:rsidRPr="006B3597" w:rsidRDefault="006B3597" w:rsidP="006B3597">
      <w:pPr>
        <w:numPr>
          <w:ilvl w:val="0"/>
          <w:numId w:val="1"/>
        </w:numPr>
        <w:shd w:val="clear" w:color="auto" w:fill="FFFFFF"/>
        <w:tabs>
          <w:tab w:val="left" w:pos="257"/>
        </w:tabs>
        <w:spacing w:after="12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Spare parts, present and future</w:t>
      </w:r>
    </w:p>
    <w:p w:rsidR="00EB5F46" w:rsidRDefault="00EB5F46" w:rsidP="006B3597">
      <w:pPr>
        <w:shd w:val="clear" w:color="auto" w:fill="FFFFFF"/>
        <w:spacing w:before="120" w:after="180" w:line="240" w:lineRule="auto"/>
        <w:ind w:left="140"/>
        <w:outlineLvl w:val="2"/>
        <w:rPr>
          <w:rFonts w:ascii="Times New Roman" w:eastAsia="Times New Roman" w:hAnsi="Times New Roman" w:cs="Times New Roman"/>
          <w:b/>
          <w:bCs/>
          <w:sz w:val="28"/>
          <w:szCs w:val="28"/>
        </w:rPr>
      </w:pPr>
    </w:p>
    <w:p w:rsidR="006B3597" w:rsidRPr="006B3597" w:rsidRDefault="006B3597" w:rsidP="00EB5F46">
      <w:pPr>
        <w:pStyle w:val="Heading1"/>
        <w:rPr>
          <w:rFonts w:eastAsia="Times New Roman"/>
        </w:rPr>
      </w:pPr>
      <w:r w:rsidRPr="006B3597">
        <w:rPr>
          <w:rFonts w:eastAsia="Times New Roman"/>
        </w:rPr>
        <w:lastRenderedPageBreak/>
        <w:t>Known Commitments</w:t>
      </w:r>
    </w:p>
    <w:p w:rsidR="006B3597" w:rsidRPr="006B3597" w:rsidRDefault="006B3597" w:rsidP="00EB5F46">
      <w:pPr>
        <w:numPr>
          <w:ilvl w:val="0"/>
          <w:numId w:val="1"/>
        </w:numPr>
        <w:shd w:val="clear" w:color="auto" w:fill="FFFFFF"/>
        <w:tabs>
          <w:tab w:val="left" w:pos="243"/>
        </w:tabs>
        <w:spacing w:before="180" w:after="120" w:line="360" w:lineRule="auto"/>
        <w:ind w:left="140"/>
        <w:jc w:val="both"/>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Value of contracts in progress, including contracts/sub contracts not yet commenced,</w:t>
      </w:r>
    </w:p>
    <w:p w:rsidR="006B3597" w:rsidRPr="006B3597" w:rsidRDefault="006B3597" w:rsidP="006B3597">
      <w:pPr>
        <w:numPr>
          <w:ilvl w:val="0"/>
          <w:numId w:val="1"/>
        </w:numPr>
        <w:shd w:val="clear" w:color="auto" w:fill="FFFFFF"/>
        <w:tabs>
          <w:tab w:val="left" w:pos="243"/>
        </w:tabs>
        <w:spacing w:before="120" w:after="180" w:line="240" w:lineRule="auto"/>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Capacity to supply Source of manufacture</w:t>
      </w:r>
    </w:p>
    <w:p w:rsidR="006B3597" w:rsidRPr="006B3597" w:rsidRDefault="006B3597" w:rsidP="006B3597">
      <w:pPr>
        <w:numPr>
          <w:ilvl w:val="0"/>
          <w:numId w:val="1"/>
        </w:numPr>
        <w:shd w:val="clear" w:color="auto" w:fill="FFFFFF"/>
        <w:tabs>
          <w:tab w:val="left" w:pos="243"/>
        </w:tabs>
        <w:spacing w:before="180" w:after="0" w:line="240" w:lineRule="auto"/>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Ability to deliver supplies/perform services</w:t>
      </w:r>
    </w:p>
    <w:p w:rsidR="006B3597" w:rsidRPr="006B3597" w:rsidRDefault="006B3597" w:rsidP="006B3597">
      <w:pPr>
        <w:numPr>
          <w:ilvl w:val="0"/>
          <w:numId w:val="1"/>
        </w:numPr>
        <w:shd w:val="clear" w:color="auto" w:fill="FFFFFF"/>
        <w:tabs>
          <w:tab w:val="left" w:pos="250"/>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Awards rates</w:t>
      </w:r>
    </w:p>
    <w:p w:rsidR="006B3597" w:rsidRPr="006B3597" w:rsidRDefault="006B3597" w:rsidP="006B3597">
      <w:pPr>
        <w:numPr>
          <w:ilvl w:val="0"/>
          <w:numId w:val="1"/>
        </w:numPr>
        <w:shd w:val="clear" w:color="auto" w:fill="FFFFFF"/>
        <w:tabs>
          <w:tab w:val="left" w:pos="263"/>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Discounts</w:t>
      </w:r>
    </w:p>
    <w:p w:rsidR="00EB5F46" w:rsidRDefault="006B3597" w:rsidP="006B3597">
      <w:pPr>
        <w:numPr>
          <w:ilvl w:val="0"/>
          <w:numId w:val="1"/>
        </w:numPr>
        <w:shd w:val="clear" w:color="auto" w:fill="FFFFFF"/>
        <w:tabs>
          <w:tab w:val="left" w:pos="455"/>
        </w:tabs>
        <w:spacing w:after="0" w:line="377" w:lineRule="exact"/>
        <w:ind w:left="140" w:right="108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 xml:space="preserve">Materials </w:t>
      </w:r>
    </w:p>
    <w:p w:rsidR="00EB5F46" w:rsidRDefault="00EB5F46" w:rsidP="00EB5F46">
      <w:pPr>
        <w:shd w:val="clear" w:color="auto" w:fill="FFFFFF"/>
        <w:tabs>
          <w:tab w:val="left" w:pos="455"/>
        </w:tabs>
        <w:spacing w:after="0" w:line="377" w:lineRule="exact"/>
        <w:ind w:left="140" w:right="1080"/>
        <w:rPr>
          <w:rFonts w:ascii="Times New Roman" w:eastAsia="Times New Roman" w:hAnsi="Times New Roman" w:cs="Times New Roman"/>
          <w:sz w:val="28"/>
          <w:szCs w:val="28"/>
        </w:rPr>
      </w:pPr>
    </w:p>
    <w:p w:rsidR="006B3597" w:rsidRPr="006B3597" w:rsidRDefault="006B3597" w:rsidP="00EB5F46">
      <w:pPr>
        <w:pStyle w:val="Heading1"/>
        <w:rPr>
          <w:rFonts w:eastAsia="Times New Roman"/>
        </w:rPr>
      </w:pPr>
      <w:r w:rsidRPr="006B3597">
        <w:rPr>
          <w:rFonts w:eastAsia="Times New Roman"/>
        </w:rPr>
        <w:t>Indirect Cost</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Warranties and technical guarantees offered</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Service and maintenance</w:t>
      </w:r>
    </w:p>
    <w:p w:rsidR="006B3597" w:rsidRPr="006B3597" w:rsidRDefault="006B3597" w:rsidP="006B3597">
      <w:pPr>
        <w:numPr>
          <w:ilvl w:val="0"/>
          <w:numId w:val="1"/>
        </w:numPr>
        <w:shd w:val="clear" w:color="auto" w:fill="FFFFFF"/>
        <w:tabs>
          <w:tab w:val="left" w:pos="250"/>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Training</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Conversion or changeover costs from existing</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Equipment or systems</w:t>
      </w:r>
    </w:p>
    <w:p w:rsidR="006B3597" w:rsidRPr="006B3597" w:rsidRDefault="006B3597" w:rsidP="006B3597">
      <w:pPr>
        <w:numPr>
          <w:ilvl w:val="0"/>
          <w:numId w:val="1"/>
        </w:numPr>
        <w:shd w:val="clear" w:color="auto" w:fill="FFFFFF"/>
        <w:tabs>
          <w:tab w:val="left" w:pos="263"/>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Standard or workmanship/quality of materials</w:t>
      </w:r>
    </w:p>
    <w:p w:rsidR="00EB5F46" w:rsidRDefault="006B3597" w:rsidP="006B3597">
      <w:pPr>
        <w:numPr>
          <w:ilvl w:val="0"/>
          <w:numId w:val="1"/>
        </w:numPr>
        <w:shd w:val="clear" w:color="auto" w:fill="FFFFFF"/>
        <w:tabs>
          <w:tab w:val="left" w:pos="449"/>
        </w:tabs>
        <w:spacing w:after="0" w:line="377" w:lineRule="exact"/>
        <w:ind w:left="140" w:right="108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 xml:space="preserve">Cost for supervision </w:t>
      </w:r>
    </w:p>
    <w:p w:rsidR="00EB5F46" w:rsidRDefault="00EB5F46" w:rsidP="00EB5F46">
      <w:pPr>
        <w:shd w:val="clear" w:color="auto" w:fill="FFFFFF"/>
        <w:tabs>
          <w:tab w:val="left" w:pos="449"/>
        </w:tabs>
        <w:spacing w:after="0" w:line="377" w:lineRule="exact"/>
        <w:ind w:left="140" w:right="1080"/>
        <w:rPr>
          <w:rFonts w:ascii="Times New Roman" w:eastAsia="Times New Roman" w:hAnsi="Times New Roman" w:cs="Times New Roman"/>
          <w:sz w:val="28"/>
          <w:szCs w:val="28"/>
        </w:rPr>
      </w:pPr>
    </w:p>
    <w:p w:rsidR="006B3597" w:rsidRPr="006B3597" w:rsidRDefault="006B3597" w:rsidP="00EB5F46">
      <w:pPr>
        <w:pStyle w:val="Heading1"/>
        <w:rPr>
          <w:rFonts w:eastAsia="Times New Roman"/>
        </w:rPr>
      </w:pPr>
      <w:r w:rsidRPr="006B3597">
        <w:rPr>
          <w:rFonts w:eastAsia="Times New Roman"/>
        </w:rPr>
        <w:t>Operational Cost</w:t>
      </w:r>
    </w:p>
    <w:p w:rsidR="006B3597" w:rsidRPr="006B3597" w:rsidRDefault="006B3597" w:rsidP="006B3597">
      <w:pPr>
        <w:numPr>
          <w:ilvl w:val="0"/>
          <w:numId w:val="1"/>
        </w:numPr>
        <w:shd w:val="clear" w:color="auto" w:fill="FFFFFF"/>
        <w:tabs>
          <w:tab w:val="left" w:pos="257"/>
        </w:tabs>
        <w:spacing w:after="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Running costs</w:t>
      </w:r>
    </w:p>
    <w:p w:rsidR="006B3597" w:rsidRPr="006B3597" w:rsidRDefault="006B3597" w:rsidP="006B3597">
      <w:pPr>
        <w:numPr>
          <w:ilvl w:val="0"/>
          <w:numId w:val="1"/>
        </w:numPr>
        <w:shd w:val="clear" w:color="auto" w:fill="FFFFFF"/>
        <w:tabs>
          <w:tab w:val="left" w:pos="257"/>
        </w:tabs>
        <w:spacing w:after="120" w:line="377" w:lineRule="exact"/>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Spare parts, present and future</w:t>
      </w:r>
    </w:p>
    <w:p w:rsidR="00EB5F46" w:rsidRDefault="00EB5F46" w:rsidP="006B3597">
      <w:pPr>
        <w:shd w:val="clear" w:color="auto" w:fill="FFFFFF"/>
        <w:spacing w:before="120" w:after="180" w:line="240" w:lineRule="auto"/>
        <w:ind w:left="140"/>
        <w:outlineLvl w:val="2"/>
        <w:rPr>
          <w:rFonts w:ascii="Times New Roman" w:eastAsia="Times New Roman" w:hAnsi="Times New Roman" w:cs="Times New Roman"/>
          <w:b/>
          <w:bCs/>
          <w:sz w:val="28"/>
          <w:szCs w:val="28"/>
        </w:rPr>
      </w:pPr>
    </w:p>
    <w:p w:rsidR="006B3597" w:rsidRPr="006B3597" w:rsidRDefault="006B3597" w:rsidP="00EB5F46">
      <w:pPr>
        <w:pStyle w:val="Heading1"/>
        <w:rPr>
          <w:rFonts w:eastAsia="Times New Roman"/>
        </w:rPr>
      </w:pPr>
      <w:r w:rsidRPr="006B3597">
        <w:rPr>
          <w:rFonts w:eastAsia="Times New Roman"/>
        </w:rPr>
        <w:t>Known Commitments</w:t>
      </w:r>
    </w:p>
    <w:p w:rsidR="006B3597" w:rsidRPr="006B3597" w:rsidRDefault="006B3597" w:rsidP="00EB5F46">
      <w:pPr>
        <w:numPr>
          <w:ilvl w:val="0"/>
          <w:numId w:val="1"/>
        </w:numPr>
        <w:shd w:val="clear" w:color="auto" w:fill="FFFFFF"/>
        <w:tabs>
          <w:tab w:val="left" w:pos="243"/>
        </w:tabs>
        <w:spacing w:before="180" w:after="120"/>
        <w:ind w:left="140"/>
        <w:jc w:val="both"/>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Value of contracts in progress, including contracts/sub contracts not yet commenced,</w:t>
      </w:r>
    </w:p>
    <w:p w:rsidR="006B3597" w:rsidRPr="006B3597" w:rsidRDefault="006B3597" w:rsidP="006B3597">
      <w:pPr>
        <w:numPr>
          <w:ilvl w:val="0"/>
          <w:numId w:val="1"/>
        </w:numPr>
        <w:shd w:val="clear" w:color="auto" w:fill="FFFFFF"/>
        <w:tabs>
          <w:tab w:val="left" w:pos="243"/>
        </w:tabs>
        <w:spacing w:before="120" w:after="180" w:line="240" w:lineRule="auto"/>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Capacity to supply Source of manufacture</w:t>
      </w:r>
    </w:p>
    <w:p w:rsidR="006B3597" w:rsidRPr="006B3597" w:rsidRDefault="006B3597" w:rsidP="006B3597">
      <w:pPr>
        <w:numPr>
          <w:ilvl w:val="0"/>
          <w:numId w:val="1"/>
        </w:numPr>
        <w:shd w:val="clear" w:color="auto" w:fill="FFFFFF"/>
        <w:tabs>
          <w:tab w:val="left" w:pos="243"/>
        </w:tabs>
        <w:spacing w:before="180" w:after="0" w:line="240" w:lineRule="auto"/>
        <w:ind w:left="140"/>
        <w:rPr>
          <w:rFonts w:ascii="Times New Roman" w:eastAsia="Times New Roman" w:hAnsi="Times New Roman" w:cs="Times New Roman"/>
          <w:sz w:val="28"/>
          <w:szCs w:val="28"/>
        </w:rPr>
      </w:pPr>
      <w:r w:rsidRPr="006B3597">
        <w:rPr>
          <w:rFonts w:ascii="Times New Roman" w:eastAsia="Times New Roman" w:hAnsi="Times New Roman" w:cs="Times New Roman"/>
          <w:sz w:val="28"/>
          <w:szCs w:val="28"/>
        </w:rPr>
        <w:t>Ability to deliver supplies/perform services</w:t>
      </w:r>
    </w:p>
    <w:p w:rsidR="006B3597" w:rsidRPr="006B3597" w:rsidRDefault="006B3597" w:rsidP="006B3597">
      <w:pPr>
        <w:rPr>
          <w:rFonts w:ascii="Times New Roman" w:eastAsia="Times New Roman" w:hAnsi="Times New Roman" w:cs="Times New Roman"/>
          <w:sz w:val="28"/>
          <w:szCs w:val="28"/>
        </w:rPr>
      </w:pPr>
    </w:p>
    <w:p w:rsidR="006B3597" w:rsidRPr="006B3597" w:rsidRDefault="006B3597" w:rsidP="006B3597">
      <w:pPr>
        <w:rPr>
          <w:rFonts w:ascii="Times New Roman" w:eastAsia="Times New Roman" w:hAnsi="Times New Roman" w:cs="Times New Roman"/>
          <w:sz w:val="28"/>
          <w:szCs w:val="28"/>
        </w:rPr>
      </w:pPr>
    </w:p>
    <w:p w:rsidR="002A0E41" w:rsidRPr="006B3597" w:rsidRDefault="00FA0945">
      <w:pPr>
        <w:rPr>
          <w:sz w:val="28"/>
          <w:szCs w:val="28"/>
        </w:rPr>
      </w:pPr>
    </w:p>
    <w:sectPr w:rsidR="002A0E41" w:rsidRPr="006B3597" w:rsidSect="0058466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945" w:rsidRDefault="00FA0945" w:rsidP="00EB5F46">
      <w:pPr>
        <w:spacing w:after="0" w:line="240" w:lineRule="auto"/>
      </w:pPr>
      <w:r>
        <w:separator/>
      </w:r>
    </w:p>
  </w:endnote>
  <w:endnote w:type="continuationSeparator" w:id="1">
    <w:p w:rsidR="00FA0945" w:rsidRDefault="00FA0945" w:rsidP="00EB5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10"/>
      <w:docPartObj>
        <w:docPartGallery w:val="Page Numbers (Bottom of Page)"/>
        <w:docPartUnique/>
      </w:docPartObj>
    </w:sdtPr>
    <w:sdtEndPr>
      <w:rPr>
        <w:color w:val="7F7F7F" w:themeColor="background1" w:themeShade="7F"/>
        <w:spacing w:val="60"/>
      </w:rPr>
    </w:sdtEndPr>
    <w:sdtContent>
      <w:p w:rsidR="00EB5F46" w:rsidRDefault="00F21918">
        <w:pPr>
          <w:pStyle w:val="Footer"/>
          <w:pBdr>
            <w:top w:val="single" w:sz="4" w:space="1" w:color="D9D9D9" w:themeColor="background1" w:themeShade="D9"/>
          </w:pBdr>
          <w:rPr>
            <w:b/>
          </w:rPr>
        </w:pPr>
        <w:fldSimple w:instr=" PAGE   \* MERGEFORMAT ">
          <w:r w:rsidR="00FD1955" w:rsidRPr="00FD1955">
            <w:rPr>
              <w:b/>
              <w:noProof/>
            </w:rPr>
            <w:t>1</w:t>
          </w:r>
        </w:fldSimple>
        <w:r w:rsidR="00EB5F46">
          <w:rPr>
            <w:b/>
          </w:rPr>
          <w:t xml:space="preserve"> | </w:t>
        </w:r>
        <w:r w:rsidR="00EB5F46">
          <w:rPr>
            <w:color w:val="7F7F7F" w:themeColor="background1" w:themeShade="7F"/>
            <w:spacing w:val="60"/>
          </w:rPr>
          <w:t>Page</w:t>
        </w:r>
      </w:p>
    </w:sdtContent>
  </w:sdt>
  <w:p w:rsidR="00EB5F46" w:rsidRDefault="00EB5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945" w:rsidRDefault="00FA0945" w:rsidP="00EB5F46">
      <w:pPr>
        <w:spacing w:after="0" w:line="240" w:lineRule="auto"/>
      </w:pPr>
      <w:r>
        <w:separator/>
      </w:r>
    </w:p>
  </w:footnote>
  <w:footnote w:type="continuationSeparator" w:id="1">
    <w:p w:rsidR="00FA0945" w:rsidRDefault="00FA0945" w:rsidP="00EB5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18"/>
        <w:szCs w:val="18"/>
      </w:rPr>
    </w:lvl>
    <w:lvl w:ilvl="1" w:tplc="000F4242">
      <w:start w:val="1"/>
      <w:numFmt w:val="bullet"/>
      <w:lvlText w:val="►"/>
      <w:lvlJc w:val="left"/>
      <w:rPr>
        <w:sz w:val="18"/>
        <w:szCs w:val="18"/>
      </w:rPr>
    </w:lvl>
    <w:lvl w:ilvl="2" w:tplc="000F4243">
      <w:start w:val="1"/>
      <w:numFmt w:val="bullet"/>
      <w:lvlText w:val="►"/>
      <w:lvlJc w:val="left"/>
      <w:rPr>
        <w:sz w:val="18"/>
        <w:szCs w:val="18"/>
      </w:rPr>
    </w:lvl>
    <w:lvl w:ilvl="3" w:tplc="000F4244">
      <w:start w:val="1"/>
      <w:numFmt w:val="bullet"/>
      <w:lvlText w:val="►"/>
      <w:lvlJc w:val="left"/>
      <w:rPr>
        <w:sz w:val="18"/>
        <w:szCs w:val="18"/>
      </w:rPr>
    </w:lvl>
    <w:lvl w:ilvl="4" w:tplc="000F4245">
      <w:start w:val="1"/>
      <w:numFmt w:val="bullet"/>
      <w:lvlText w:val="►"/>
      <w:lvlJc w:val="left"/>
      <w:rPr>
        <w:sz w:val="18"/>
        <w:szCs w:val="18"/>
      </w:rPr>
    </w:lvl>
    <w:lvl w:ilvl="5" w:tplc="000F4246">
      <w:start w:val="1"/>
      <w:numFmt w:val="bullet"/>
      <w:lvlText w:val="►"/>
      <w:lvlJc w:val="left"/>
      <w:rPr>
        <w:sz w:val="18"/>
        <w:szCs w:val="18"/>
      </w:rPr>
    </w:lvl>
    <w:lvl w:ilvl="6" w:tplc="000F4247">
      <w:start w:val="1"/>
      <w:numFmt w:val="bullet"/>
      <w:lvlText w:val="►"/>
      <w:lvlJc w:val="left"/>
      <w:rPr>
        <w:sz w:val="18"/>
        <w:szCs w:val="18"/>
      </w:rPr>
    </w:lvl>
    <w:lvl w:ilvl="7" w:tplc="000F4248">
      <w:start w:val="1"/>
      <w:numFmt w:val="bullet"/>
      <w:lvlText w:val="►"/>
      <w:lvlJc w:val="left"/>
      <w:rPr>
        <w:sz w:val="18"/>
        <w:szCs w:val="18"/>
      </w:rPr>
    </w:lvl>
    <w:lvl w:ilvl="8" w:tplc="000F4249">
      <w:start w:val="1"/>
      <w:numFmt w:val="bullet"/>
      <w:lvlText w:val="►"/>
      <w:lvlJc w:val="left"/>
      <w:rPr>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3597"/>
    <w:rsid w:val="000524CF"/>
    <w:rsid w:val="00293598"/>
    <w:rsid w:val="00584669"/>
    <w:rsid w:val="006B3597"/>
    <w:rsid w:val="006E3D4C"/>
    <w:rsid w:val="00B43B1F"/>
    <w:rsid w:val="00EB5F46"/>
    <w:rsid w:val="00F21918"/>
    <w:rsid w:val="00FA0945"/>
    <w:rsid w:val="00FD1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97"/>
  </w:style>
  <w:style w:type="paragraph" w:styleId="Heading1">
    <w:name w:val="heading 1"/>
    <w:basedOn w:val="Normal"/>
    <w:next w:val="Normal"/>
    <w:link w:val="Heading1Char"/>
    <w:uiPriority w:val="9"/>
    <w:qFormat/>
    <w:rsid w:val="006B35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359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B35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359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B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97"/>
    <w:rPr>
      <w:rFonts w:ascii="Tahoma" w:hAnsi="Tahoma" w:cs="Tahoma"/>
      <w:sz w:val="16"/>
      <w:szCs w:val="16"/>
    </w:rPr>
  </w:style>
  <w:style w:type="paragraph" w:styleId="Header">
    <w:name w:val="header"/>
    <w:basedOn w:val="Normal"/>
    <w:link w:val="HeaderChar"/>
    <w:uiPriority w:val="99"/>
    <w:semiHidden/>
    <w:unhideWhenUsed/>
    <w:rsid w:val="00EB5F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F46"/>
  </w:style>
  <w:style w:type="paragraph" w:styleId="Footer">
    <w:name w:val="footer"/>
    <w:basedOn w:val="Normal"/>
    <w:link w:val="FooterChar"/>
    <w:uiPriority w:val="99"/>
    <w:unhideWhenUsed/>
    <w:rsid w:val="00EB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46"/>
  </w:style>
</w:styles>
</file>

<file path=word/webSettings.xml><?xml version="1.0" encoding="utf-8"?>
<w:webSettings xmlns:r="http://schemas.openxmlformats.org/officeDocument/2006/relationships" xmlns:w="http://schemas.openxmlformats.org/wordprocessingml/2006/main">
  <w:divs>
    <w:div w:id="13382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4</cp:revision>
  <dcterms:created xsi:type="dcterms:W3CDTF">2011-08-03T09:25:00Z</dcterms:created>
  <dcterms:modified xsi:type="dcterms:W3CDTF">2011-08-03T09:33:00Z</dcterms:modified>
</cp:coreProperties>
</file>